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C3831"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附件1-7 </w:t>
      </w:r>
    </w:p>
    <w:p w14:paraId="14455268"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部分检验项目的说明</w:t>
      </w:r>
    </w:p>
    <w:p w14:paraId="274B08B5">
      <w:pPr>
        <w:rPr>
          <w:highlight w:val="none"/>
        </w:rPr>
      </w:pPr>
    </w:p>
    <w:p w14:paraId="1D86E4B9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、噻虫胺</w:t>
      </w:r>
    </w:p>
    <w:p w14:paraId="3A8F7E11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噻虫胺属于新烟碱类杀虫剂，具有内吸性、触杀和胃毒作用，长期食用噻虫胺超标的食品可能对人体健康有一定影响。根据《食品安全国家标准 食品中农药最大残留限量》（GB 2763）中规定，噻虫胺在辣椒中的最大残留限量为0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胡萝卜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豇豆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芒果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油桃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64F7CA09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本阶段，“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抽”食品安全监督抽检发现有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批次辣椒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13批次胡萝卜，7批次姜，6批次豇豆，3批次芒果，1批次油桃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中噻虫胺超标，原因可能是农户在种植过程中为快速控制虫害，加大用药量或未遵守采摘间隔期规定，致使上市销售的产品中残留量超标。</w:t>
      </w:r>
    </w:p>
    <w:p w14:paraId="4DED78E2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</w:p>
    <w:p w14:paraId="62B8FAF0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、噻虫嗪</w:t>
      </w:r>
    </w:p>
    <w:p w14:paraId="0230A7C2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噻虫嗪属于新烟碱类杀虫剂，具有内吸性、触杀和胃毒作用，长期食用噻虫嗪超标的食品可能对人体健康有一定影响。根据《食品安全国家标准 食品中农药最大残留限量》（GB 2763）中规定，噻虫嗪在豇豆中的最大残留限量为0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黄瓜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04AC2F40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批次豇豆</w:t>
      </w:r>
      <w:r>
        <w:rPr>
          <w:rFonts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2批次黄瓜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中噻虫嗪超标，原因可能是农户在种植过程中为快速控制虫害，加大用药量或未遵守采摘间隔期规定，致使上市销售的产品中残留量超标。</w:t>
      </w:r>
    </w:p>
    <w:p w14:paraId="3D1088DD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5686B23E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、吡唑醚菌酯</w:t>
      </w:r>
    </w:p>
    <w:p w14:paraId="7465272A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吡唑醚菌酯是一种广谱杀菌剂，用于防治多种作物病害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吡唑醚菌酯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超标可能对人体健康产生不良影响，可能对人体的免疫系统、内分泌系统等造成损害，尤其对儿童、孕妇和老年人等敏感人群风险更为突出</w:t>
      </w:r>
      <w:r>
        <w:rPr>
          <w:rFonts w:hint="eastAsia" w:ascii="MS Mincho" w:hAnsi="MS Mincho" w:eastAsia="仿宋_GB2312" w:cs="MS Minch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2763）中规定，吡唑醚菌酯在芒果中的最大残留限量为0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1F3BD697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批芒果中吡唑醚菌酯超标，原因可能是农户在种植过程中为快速控制虫害，加大用药量或未遵守采摘间隔期规定，致使上市销售的产品中残留量超标。</w:t>
      </w:r>
    </w:p>
    <w:p w14:paraId="5C072877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 w14:paraId="20153B7A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、氟虫腈</w:t>
      </w:r>
    </w:p>
    <w:p w14:paraId="3A0D5900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氟虫腈是一种苯基吡唑类杀虫剂，具有广谱、高效的特点，对多种害虫有显著的防治效果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。其作用机制是通过阻碍昆虫的氯离子代谢，影响昆虫中枢神经系统功能，导致害虫死亡。氟虫腈可用于水稻、蔬菜等作物，防治稻螟虫、小菜蛾等多种害虫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。少量的农药残留不会引起人体急性中毒，但长期食用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ascii="Times New Roman" w:hAnsi="Times New Roman" w:eastAsia="仿宋_GB2312"/>
          <w:sz w:val="32"/>
          <w:szCs w:val="32"/>
          <w:highlight w:val="none"/>
        </w:rPr>
        <w:t>超标的食品，对人体健康可能有一定影响。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普通白菜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mg/kg，在胡萝卜中的最大残留限量为0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08C8651A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普通白菜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批次胡萝卜中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超标，原因可能是农户在种植过程中为快速控制虫害，加大用药量或未遵守采摘间隔期规定，致使上市销售的产品中残留量超标。</w:t>
      </w:r>
    </w:p>
    <w:p w14:paraId="24C1C966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 w14:paraId="2468AEB7">
      <w:pPr>
        <w:widowControl/>
        <w:suppressAutoHyphens/>
        <w:ind w:firstLine="643" w:firstLineChars="200"/>
        <w:rPr>
          <w:rFonts w:hint="eastAsia" w:ascii="Times New Roman" w:hAnsi="Times New Roman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甲拌磷</w:t>
      </w:r>
    </w:p>
    <w:p w14:paraId="09B0E3C9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甲拌磷是一种高毒有机磷类杀虫剂，具有内吸、触杀和熏蒸作用，能有效防治多种害虫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甲拌磷毒性较高，短期接触可能导致恶心、呕吐、头晕；长期低剂量暴露可能损害神经系统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2763）中规定，甲拌磷在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胡萝卜及马铃薯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1E70FE09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马铃薯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批次胡萝卜中甲拌磷超标，原因可能是种植户可能为快速控制虫害，不按规定剂量和频率使用，加大甲拌磷的使用量、增加施药次数，使农产品吸收和积累过多甲拌磷，无法在收获前完全降解，造成残留超标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或未遵守采摘间隔期，在农药未完全降解前就进行采摘，使得农产品中的甲拌磷残留超过安全标准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 w14:paraId="27189DE1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1EC074D5">
      <w:pPr>
        <w:widowControl/>
        <w:suppressAutoHyphens/>
        <w:ind w:firstLine="643" w:firstLineChars="200"/>
        <w:rPr>
          <w:rFonts w:hint="eastAsia" w:ascii="Times New Roman" w:hAnsi="Times New Roman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戊唑醇</w:t>
      </w:r>
    </w:p>
    <w:p w14:paraId="3D651F01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戊唑醇是一种高效、广谱的三唑类杀菌剂，主要用于防治小麦、水稻、花生、蔬菜、水果等多种作物上的真菌病害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长期食用戊唑醇超标的农产品，可能对人体健康产生不利影响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2763）中规定，戊唑醇在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1242BDC8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中戊唑醇超标，原因可能是种植户可能为快速控制虫害，不按规定剂量和频率使用，加大戊唑醇的使用量、增加施药次数，使农产品吸收和积累过多戊唑醇，无法在收获前完全降解，造成残留超标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或未遵守采摘间隔期，在农药未完全降解前就进行采摘，使得农产品中的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戊唑醇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残留超过安全标准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 w14:paraId="0FECB2FA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29720EA0">
      <w:pPr>
        <w:widowControl/>
        <w:suppressAutoHyphens/>
        <w:ind w:firstLine="643" w:firstLineChars="200"/>
        <w:rPr>
          <w:rFonts w:hint="eastAsia" w:ascii="Times New Roman" w:hAnsi="Times New Roman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丙环唑</w:t>
      </w:r>
    </w:p>
    <w:p w14:paraId="3DDB3E6C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丙环唑是一种内吸性三唑类杀菌剂，具有保护和治疗作用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长期食用丙环唑超标的农产品，可能对人体健康产生不利影响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，对皮肤和眼睛有轻度刺激作用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2763）中规定，丙环唑在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0C45D00E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中丙环唑超标，原因可能是种植户可能为快速控制虫害，不按规定剂量和频率使用，加大丙环唑的使用量、增加施药次数，使农产品吸收和积累过多戊唑醇，无法在收获前完全降解，造成残留超标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或未遵守采摘间隔期，在农药未完全降解前就进行采摘，使得农产品中的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丙环唑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残留超过安全标准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 w14:paraId="55C796EF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 w14:paraId="09DD82A6">
      <w:pPr>
        <w:pStyle w:val="2"/>
        <w:kinsoku w:val="0"/>
        <w:overflowPunct w:val="0"/>
        <w:spacing w:before="35" w:line="560" w:lineRule="exact"/>
        <w:ind w:firstLine="643" w:firstLineChars="200"/>
        <w:rPr>
          <w:rFonts w:hint="eastAsia" w:hAnsi="黑体"/>
          <w:highlight w:val="none"/>
        </w:rPr>
      </w:pPr>
      <w:r>
        <w:rPr>
          <w:rFonts w:hint="eastAsia" w:ascii="Times New Roman"/>
          <w:b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</w:t>
      </w:r>
      <w:r>
        <w:rPr>
          <w:rFonts w:hint="eastAsia" w:hAnsi="黑体"/>
          <w:highlight w:val="none"/>
        </w:rPr>
        <w:t>毒死蜱</w:t>
      </w:r>
    </w:p>
    <w:p w14:paraId="77F04CE5">
      <w:pPr>
        <w:pStyle w:val="2"/>
        <w:kinsoku w:val="0"/>
        <w:overflowPunct w:val="0"/>
        <w:spacing w:before="35" w:line="560" w:lineRule="exact"/>
        <w:ind w:firstLine="640" w:firstLineChars="200"/>
        <w:rPr>
          <w:rFonts w:hAnsi="黑体"/>
          <w:highlight w:val="none"/>
        </w:rPr>
      </w:pPr>
      <w:r>
        <w:rPr>
          <w:rFonts w:hint="eastAsia" w:hAnsi="黑体"/>
          <w:highlight w:val="none"/>
        </w:rPr>
        <w:t>毒死蜱是一种具有触杀、胃毒和熏蒸作用的有机磷杀虫剂。毒死蜱在土壤中残留期较长。长期暴露在含有毒死蜱的环境中，可能会导致神经毒性、生殖毒性，影响胚胎的生长发育。少量的农药残留不会引起人体急性中毒，但长期食用农药残留超标的食品，对人体健康有一定影响。根据《食品安全国家标准 食品中农药最大残留限量》（GB 2763）中规定，毒死蜱在</w:t>
      </w:r>
      <w:r>
        <w:rPr>
          <w:rFonts w:hint="eastAsia" w:hAnsi="黑体"/>
          <w:highlight w:val="none"/>
          <w:lang w:val="en-US" w:eastAsia="zh-CN"/>
        </w:rPr>
        <w:t>辣椒及马铃薯</w:t>
      </w:r>
      <w:r>
        <w:rPr>
          <w:rFonts w:hint="eastAsia" w:hAnsi="黑体"/>
          <w:highlight w:val="none"/>
        </w:rPr>
        <w:t>中的最大残留限量为0.</w:t>
      </w:r>
      <w:r>
        <w:rPr>
          <w:rFonts w:hAnsi="黑体"/>
          <w:highlight w:val="none"/>
        </w:rPr>
        <w:t>0</w:t>
      </w:r>
      <w:r>
        <w:rPr>
          <w:rFonts w:hint="eastAsia" w:hAnsi="黑体"/>
          <w:highlight w:val="none"/>
          <w:lang w:val="en-US" w:eastAsia="zh-CN"/>
        </w:rPr>
        <w:t>2</w:t>
      </w:r>
      <w:r>
        <w:rPr>
          <w:rFonts w:hint="eastAsia" w:hAnsi="黑体"/>
          <w:highlight w:val="none"/>
        </w:rPr>
        <w:t>mg/kg。</w:t>
      </w:r>
    </w:p>
    <w:p w14:paraId="36614266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</w:t>
      </w:r>
      <w:r>
        <w:rPr>
          <w:rFonts w:hint="eastAsia" w:hAnsi="黑体"/>
          <w:highlight w:val="none"/>
        </w:rPr>
        <w:t>有1批次</w:t>
      </w:r>
      <w:r>
        <w:rPr>
          <w:rFonts w:hint="eastAsia" w:hAnsi="黑体"/>
          <w:highlight w:val="none"/>
          <w:lang w:val="en-US" w:eastAsia="zh-CN"/>
        </w:rPr>
        <w:t>马铃薯</w:t>
      </w:r>
      <w:r>
        <w:rPr>
          <w:rFonts w:hint="eastAsia" w:hAnsi="黑体"/>
          <w:highlight w:val="none"/>
        </w:rPr>
        <w:t>和</w:t>
      </w:r>
      <w:r>
        <w:rPr>
          <w:rFonts w:hint="eastAsia" w:hAnsi="黑体"/>
          <w:highlight w:val="none"/>
          <w:lang w:val="en-US" w:eastAsia="zh-CN"/>
        </w:rPr>
        <w:t>2</w:t>
      </w:r>
      <w:r>
        <w:rPr>
          <w:rFonts w:hint="eastAsia" w:hAnsi="黑体"/>
          <w:highlight w:val="none"/>
        </w:rPr>
        <w:t>批次</w:t>
      </w:r>
      <w:r>
        <w:rPr>
          <w:rFonts w:hint="eastAsia" w:hAnsi="黑体"/>
          <w:highlight w:val="none"/>
          <w:lang w:val="en-US" w:eastAsia="zh-CN"/>
        </w:rPr>
        <w:t>辣椒</w:t>
      </w:r>
      <w:r>
        <w:rPr>
          <w:rFonts w:hint="eastAsia" w:hAnsi="黑体"/>
          <w:highlight w:val="none"/>
        </w:rPr>
        <w:t>中毒死蜱超标，超标的原因可能是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农户在种植过程中农药使用不科学规范所致</w:t>
      </w:r>
      <w:r>
        <w:rPr>
          <w:rFonts w:hint="eastAsia" w:hAnsi="黑体"/>
          <w:highlight w:val="none"/>
        </w:rPr>
        <w:t>。</w:t>
      </w:r>
    </w:p>
    <w:p w14:paraId="54658D0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28BA0753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九</w:t>
      </w:r>
      <w:r>
        <w:rPr>
          <w:rFonts w:hint="eastAsia" w:ascii="黑体" w:hAnsi="黑体" w:eastAsia="黑体"/>
          <w:highlight w:val="none"/>
        </w:rPr>
        <w:t>、倍硫磷</w:t>
      </w:r>
    </w:p>
    <w:p w14:paraId="7AE30173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倍硫磷是中毒有机磷杀虫剂。一般不会导致对人体的急性毒性作用，但长期食用可能对人体健康造成危害。《食品安全国家标准 食品中农药最大残留限量》（GB 2763）标准中规定在豆类蔬菜中最大残留限量值为0.05mg/kg。</w:t>
      </w:r>
    </w:p>
    <w:p w14:paraId="02085B2E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 w:ascii="Times New Roman"/>
          <w:highlight w:val="none"/>
        </w:rPr>
        <w:t>批次豇豆中</w:t>
      </w:r>
      <w:r>
        <w:rPr>
          <w:rFonts w:hint="eastAsia" w:ascii="Times New Roman" w:cs="Times New Roman"/>
          <w:kern w:val="2"/>
          <w:highlight w:val="none"/>
        </w:rPr>
        <w:t>倍硫磷超标</w:t>
      </w:r>
      <w:r>
        <w:rPr>
          <w:rFonts w:hint="eastAsia" w:ascii="Times New Roman"/>
          <w:highlight w:val="none"/>
        </w:rPr>
        <w:t>，原因可能是农户在种植过程中农药使用不科学规范所致。</w:t>
      </w:r>
    </w:p>
    <w:p w14:paraId="113D2DAD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</w:p>
    <w:p w14:paraId="69D08C8B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</w:rPr>
        <w:t>十、</w:t>
      </w:r>
      <w:r>
        <w:rPr>
          <w:rFonts w:hint="eastAsia" w:ascii="黑体" w:hAnsi="黑体" w:eastAsia="黑体"/>
          <w:highlight w:val="none"/>
          <w:lang w:val="en-US" w:eastAsia="zh-CN"/>
        </w:rPr>
        <w:t>氧乐果</w:t>
      </w:r>
    </w:p>
    <w:p w14:paraId="18B00B79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氧乐果是一种高毒有机磷类杀虫剂，具有触杀、胃毒和熏蒸作用，能有效防治多种害虫。氧乐果毒性较高，可抑制胆碱酯酶活性，导致乙酰胆碱在神经系统内蓄积，引起神经功能紊乱。短期接触可能导致恶心、呕吐、头晕；长期低剂量暴露可能损害神经系统。《食品安全国家标准 食品中农药最大残留限量》（GB 2763）标准中规定</w:t>
      </w:r>
      <w:r>
        <w:rPr>
          <w:rFonts w:hint="eastAsia" w:ascii="Times New Roman" w:cs="Times New Roman"/>
          <w:kern w:val="2"/>
          <w:highlight w:val="none"/>
          <w:lang w:eastAsia="zh-CN"/>
        </w:rPr>
        <w:t>，</w:t>
      </w:r>
      <w:r>
        <w:rPr>
          <w:rFonts w:hint="eastAsia" w:ascii="Times New Roman" w:cs="Times New Roman"/>
          <w:kern w:val="2"/>
          <w:highlight w:val="none"/>
        </w:rPr>
        <w:t>在辣椒中最大残留限量值为0.0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2</w:t>
      </w:r>
      <w:r>
        <w:rPr>
          <w:rFonts w:hint="eastAsia" w:ascii="Times New Roman" w:cs="Times New Roman"/>
          <w:kern w:val="2"/>
          <w:highlight w:val="none"/>
        </w:rPr>
        <w:t>mg/kg。</w:t>
      </w:r>
    </w:p>
    <w:p w14:paraId="43F4E6CD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辣椒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</w:rPr>
        <w:t>氧乐果超标</w:t>
      </w:r>
      <w:r>
        <w:rPr>
          <w:rFonts w:hint="eastAsia" w:ascii="Times New Roman"/>
          <w:highlight w:val="none"/>
        </w:rPr>
        <w:t>，原因可能是农户在种植过程中农药使用不科学规范所致。</w:t>
      </w:r>
    </w:p>
    <w:p w14:paraId="38A04737">
      <w:pPr>
        <w:pStyle w:val="2"/>
        <w:kinsoku w:val="0"/>
        <w:overflowPunct w:val="0"/>
        <w:spacing w:before="0"/>
        <w:ind w:left="0" w:firstLine="1056" w:firstLineChars="33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796DBBAE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十一</w:t>
      </w:r>
      <w:r>
        <w:rPr>
          <w:rFonts w:hint="eastAsia" w:ascii="黑体" w:hAnsi="黑体" w:eastAsia="黑体"/>
          <w:highlight w:val="none"/>
          <w:lang w:eastAsia="zh-CN"/>
        </w:rPr>
        <w:t>、苯甲酸及其钠盐(以苯甲酸计)</w:t>
      </w:r>
    </w:p>
    <w:p w14:paraId="18C2C940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  <w:lang w:val="en-US" w:eastAsia="zh-CN"/>
        </w:rPr>
      </w:pPr>
      <w:r>
        <w:rPr>
          <w:rFonts w:hint="eastAsia" w:ascii="Times New Roman"/>
          <w:highlight w:val="none"/>
          <w:lang w:val="en-US" w:eastAsia="zh-CN"/>
        </w:rPr>
        <w:t>苯甲酸及其钠盐（以苯甲酸计）是食品工业中一种常见的防腐保鲜剂，对霉菌、酵母和细菌有较好的抑制作用。少量苯甲酸对人体无毒害，长期过量食用苯甲酸超标的食品可能会对肝脏功能产生一定影响。《食品安全国家标准 食品添加剂使用标准》（GB 2760）中规定，苯甲酸及其钠盐（以苯甲酸计）在酱腌菜中最大使用量为1.0g/kg。</w:t>
      </w:r>
    </w:p>
    <w:p w14:paraId="4161A3E5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食品安全监督抽检”发现有</w:t>
      </w:r>
      <w:r>
        <w:rPr>
          <w:rFonts w:hint="eastAsia" w:ascii="Times New Roman"/>
          <w:highlight w:val="none"/>
          <w:lang w:val="en-US" w:eastAsia="zh-CN"/>
        </w:rPr>
        <w:t>2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eastAsia="zh-CN"/>
        </w:rPr>
        <w:t>酱腌菜</w:t>
      </w:r>
      <w:r>
        <w:rPr>
          <w:rFonts w:hint="eastAsia" w:ascii="Times New Roman"/>
          <w:highlight w:val="none"/>
          <w:lang w:val="en-US" w:eastAsia="zh-CN"/>
        </w:rPr>
        <w:t>苯甲酸及其钠盐（以苯甲酸计）</w:t>
      </w:r>
      <w:r>
        <w:rPr>
          <w:rFonts w:hint="eastAsia" w:ascii="Times New Roman"/>
          <w:highlight w:val="none"/>
        </w:rPr>
        <w:t>超标。可能是企业为延长产品保质期，或弥补产品生产过程</w:t>
      </w:r>
      <w:r>
        <w:rPr>
          <w:rFonts w:hint="eastAsia" w:ascii="Times New Roman"/>
          <w:highlight w:val="none"/>
          <w:lang w:eastAsia="zh-CN"/>
        </w:rPr>
        <w:t>中</w:t>
      </w:r>
      <w:r>
        <w:rPr>
          <w:rFonts w:hint="eastAsia" w:ascii="Times New Roman"/>
          <w:highlight w:val="none"/>
        </w:rPr>
        <w:t>卫生条件不佳等原因</w:t>
      </w:r>
      <w:r>
        <w:rPr>
          <w:rFonts w:hint="eastAsia" w:ascii="Times New Roman"/>
          <w:highlight w:val="none"/>
          <w:lang w:eastAsia="zh-CN"/>
        </w:rPr>
        <w:t>而过量添加所致。</w:t>
      </w:r>
    </w:p>
    <w:p w14:paraId="1EDB05B1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686166B5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十二</w:t>
      </w:r>
      <w:r>
        <w:rPr>
          <w:rFonts w:hint="eastAsia" w:ascii="黑体" w:hAnsi="黑体" w:eastAsia="黑体"/>
          <w:highlight w:val="none"/>
        </w:rPr>
        <w:t>、阴离子合成洗涤剂(以十二烷基苯磺酸钠计)</w:t>
      </w:r>
    </w:p>
    <w:p w14:paraId="471A77D7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highlight w:val="none"/>
        </w:rPr>
      </w:pPr>
      <w:r>
        <w:rPr>
          <w:rFonts w:hint="eastAsia" w:ascii="Times New Roman"/>
          <w:highlight w:val="none"/>
        </w:rPr>
        <w:t>阴离子合成洗涤剂的主要活性成分是十二烷基苯磺酸钠，是一种低毒的化学物质。根据《食品安全国家标准 消毒餐（饮）具》（GB 14934）中规定，消毒餐（饮）具中阴离子合成洗涤剂（以十二烷基苯磺酸钠计）不得检出。</w:t>
      </w:r>
    </w:p>
    <w:p w14:paraId="5AC7FDBC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highlight w:val="none"/>
        </w:rPr>
        <w:t>1</w:t>
      </w:r>
      <w:r>
        <w:rPr>
          <w:rFonts w:hint="eastAsia"/>
          <w:highlight w:val="none"/>
          <w:lang w:val="en-US" w:eastAsia="zh-CN"/>
        </w:rPr>
        <w:t>0</w:t>
      </w:r>
      <w:r>
        <w:rPr>
          <w:rFonts w:hint="eastAsia" w:ascii="Times New Roman"/>
          <w:highlight w:val="none"/>
        </w:rPr>
        <w:t>批次复用餐饮具中检出阴离子合成洗涤剂(以十二烷基苯磺酸钠计)，原因可能是用于清洗餐具的洗涤剂不符合标准，洗涤剂</w:t>
      </w:r>
      <w:r>
        <w:rPr>
          <w:rFonts w:ascii="Times New Roman"/>
          <w:highlight w:val="none"/>
        </w:rPr>
        <w:t>用量</w:t>
      </w:r>
      <w:r>
        <w:rPr>
          <w:rFonts w:hint="eastAsia" w:ascii="Times New Roman"/>
          <w:highlight w:val="none"/>
        </w:rPr>
        <w:t>过大，清洗</w:t>
      </w:r>
      <w:r>
        <w:rPr>
          <w:rFonts w:ascii="Times New Roman"/>
          <w:highlight w:val="none"/>
        </w:rPr>
        <w:t>消毒流程</w:t>
      </w:r>
      <w:r>
        <w:rPr>
          <w:rFonts w:hint="eastAsia" w:ascii="Times New Roman"/>
          <w:highlight w:val="none"/>
        </w:rPr>
        <w:t>控制</w:t>
      </w:r>
      <w:r>
        <w:rPr>
          <w:rFonts w:ascii="Times New Roman"/>
          <w:highlight w:val="none"/>
        </w:rPr>
        <w:t>不当，</w:t>
      </w:r>
      <w:r>
        <w:rPr>
          <w:rFonts w:hint="eastAsia" w:ascii="Times New Roman"/>
          <w:highlight w:val="none"/>
        </w:rPr>
        <w:t>洗涤剂或消毒剂未彻底冲洗干净所</w:t>
      </w:r>
      <w:r>
        <w:rPr>
          <w:rFonts w:ascii="Times New Roman"/>
          <w:highlight w:val="none"/>
        </w:rPr>
        <w:t>导致</w:t>
      </w:r>
      <w:r>
        <w:rPr>
          <w:rFonts w:hint="eastAsia" w:ascii="Times New Roman"/>
          <w:highlight w:val="none"/>
        </w:rPr>
        <w:t>。</w:t>
      </w:r>
    </w:p>
    <w:p w14:paraId="30EB45A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黑体" w:hAnsi="黑体" w:eastAsia="黑体"/>
          <w:highlight w:val="none"/>
          <w:lang w:val="en-US" w:eastAsia="zh-CN"/>
        </w:rPr>
      </w:pPr>
    </w:p>
    <w:p w14:paraId="5062D82C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十</w:t>
      </w:r>
      <w:r>
        <w:rPr>
          <w:rFonts w:hint="eastAsia" w:ascii="黑体" w:hAnsi="黑体" w:eastAsia="黑体"/>
          <w:highlight w:val="none"/>
          <w:lang w:val="en-US" w:eastAsia="zh-CN"/>
        </w:rPr>
        <w:t>三</w:t>
      </w:r>
      <w:r>
        <w:rPr>
          <w:rFonts w:hint="eastAsia" w:ascii="黑体" w:hAnsi="黑体" w:eastAsia="黑体"/>
          <w:highlight w:val="none"/>
        </w:rPr>
        <w:t>、甲氧苄啶</w:t>
      </w:r>
    </w:p>
    <w:p w14:paraId="00A553AA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甲氧苄啶是一种合成的广谱抗菌药，属于磺胺增效剂。长期摄入甲氧苄啶残留超标的食品，可能引起头晕、头痛、睡眠不良、胃肠道不适等症状。《食品安全国家标准 食品中41种兽药最大残留限量》（GB 31650.1-2022）中规定，甲氧苄啶在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鸡蛋</w:t>
      </w:r>
      <w:r>
        <w:rPr>
          <w:rFonts w:hint="eastAsia" w:ascii="Times New Roman" w:cs="Times New Roman"/>
          <w:kern w:val="2"/>
          <w:highlight w:val="none"/>
        </w:rPr>
        <w:t>中最大残留限量值为</w:t>
      </w:r>
      <w:r>
        <w:rPr>
          <w:rFonts w:ascii="Times New Roman" w:cs="Times New Roman"/>
          <w:kern w:val="2"/>
          <w:highlight w:val="none"/>
        </w:rPr>
        <w:t>10</w:t>
      </w:r>
      <w:r>
        <w:rPr>
          <w:rFonts w:hint="eastAsia" w:ascii="Times New Roman" w:cs="Times New Roman"/>
          <w:kern w:val="2"/>
          <w:highlight w:val="none"/>
        </w:rPr>
        <w:t>μg/kg。</w:t>
      </w:r>
    </w:p>
    <w:p w14:paraId="4AFF63B4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8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鸡蛋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</w:rPr>
        <w:t>甲氧苄啶超标。</w:t>
      </w:r>
      <w:r>
        <w:rPr>
          <w:rFonts w:hint="eastAsia" w:ascii="Times New Roman"/>
          <w:highlight w:val="none"/>
        </w:rPr>
        <w:t>原因可能是养殖户可能为快速控制疫病，违反规定加大用药量或不遵守休药期，导致残留量超标。</w:t>
      </w:r>
    </w:p>
    <w:p w14:paraId="11CF5FAA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78B32474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十</w:t>
      </w:r>
      <w:r>
        <w:rPr>
          <w:rFonts w:hint="eastAsia" w:ascii="黑体" w:hAnsi="黑体" w:eastAsia="黑体"/>
          <w:highlight w:val="none"/>
          <w:lang w:val="en-US" w:eastAsia="zh-CN"/>
        </w:rPr>
        <w:t xml:space="preserve">四 </w:t>
      </w:r>
      <w:r>
        <w:rPr>
          <w:rFonts w:hint="eastAsia" w:ascii="黑体" w:hAnsi="黑体" w:eastAsia="黑体"/>
          <w:highlight w:val="none"/>
        </w:rPr>
        <w:t>地美硝唑</w:t>
      </w:r>
    </w:p>
    <w:p w14:paraId="78399254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地美硝唑是一种动物专用的抗原虫药，属于硝基咪唑类化学药物。地美硝唑具有“三致”（致癌、致畸、致突变）危害，长期摄入残留超标的地美硝唑可能对人体健康造成潜在风险，包括肝肾功能损伤和耐药性产生。《食品安全国家标准 食品中兽药最大残留限量》（GB 31650-2019）中规定，地美硝唑在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鸡蛋</w:t>
      </w:r>
      <w:r>
        <w:rPr>
          <w:rFonts w:hint="eastAsia" w:ascii="Times New Roman" w:cs="Times New Roman"/>
          <w:kern w:val="2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不得检出</w:t>
      </w:r>
      <w:r>
        <w:rPr>
          <w:rFonts w:hint="eastAsia" w:ascii="Times New Roman" w:cs="Times New Roman"/>
          <w:kern w:val="2"/>
          <w:highlight w:val="none"/>
        </w:rPr>
        <w:t>。</w:t>
      </w:r>
    </w:p>
    <w:p w14:paraId="6AC3DC7B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鸡蛋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检出</w:t>
      </w:r>
      <w:r>
        <w:rPr>
          <w:rFonts w:hint="eastAsia" w:ascii="Times New Roman" w:cs="Times New Roman"/>
          <w:kern w:val="2"/>
          <w:highlight w:val="none"/>
        </w:rPr>
        <w:t>地美硝唑。</w:t>
      </w:r>
      <w:r>
        <w:rPr>
          <w:rFonts w:hint="eastAsia" w:ascii="Times New Roman"/>
          <w:highlight w:val="none"/>
        </w:rPr>
        <w:t>原因可能是养殖户可能为快速控制疾病，不按规定剂量和疗程使用地美硝唑，或在产蛋期的家禽中使用，导致残留超标。</w:t>
      </w:r>
    </w:p>
    <w:p w14:paraId="07E0717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5E1CADB6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十</w:t>
      </w:r>
      <w:r>
        <w:rPr>
          <w:rFonts w:hint="eastAsia" w:ascii="黑体" w:hAnsi="黑体" w:eastAsia="黑体"/>
          <w:highlight w:val="none"/>
          <w:lang w:val="en-US" w:eastAsia="zh-CN"/>
        </w:rPr>
        <w:t>五</w:t>
      </w:r>
      <w:r>
        <w:rPr>
          <w:rFonts w:hint="eastAsia" w:ascii="黑体" w:hAnsi="黑体" w:eastAsia="黑体"/>
          <w:highlight w:val="none"/>
        </w:rPr>
        <w:t>、磺胺类(总量)</w:t>
      </w:r>
    </w:p>
    <w:p w14:paraId="4F33EA5F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磺胺类药物是一类人工合成的抑菌药，具有抗菌谱广、性质稳定、便于贮存、吸收迅速等优点，用于动物疫病治疗。长期摄入磺胺类药物残留超标的食品，可能在人体内蓄积，不利健康，引起过敏反应和耐药性菌株的产生。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根据</w:t>
      </w:r>
      <w:r>
        <w:rPr>
          <w:rFonts w:hint="eastAsia" w:ascii="Times New Roman" w:cs="Times New Roman"/>
          <w:kern w:val="2"/>
          <w:highlight w:val="none"/>
        </w:rPr>
        <w:t>《食品安全国家标准 食品中41种兽药最大残留限量》（GB 31650.1-2022）中规定，磺胺类</w:t>
      </w:r>
      <w:r>
        <w:rPr>
          <w:rFonts w:hint="eastAsia" w:ascii="Times New Roman" w:cs="Times New Roman"/>
          <w:kern w:val="2"/>
          <w:highlight w:val="none"/>
          <w:lang w:eastAsia="zh-CN"/>
        </w:rPr>
        <w:t>（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总量</w:t>
      </w:r>
      <w:r>
        <w:rPr>
          <w:rFonts w:hint="eastAsia" w:ascii="Times New Roman" w:cs="Times New Roman"/>
          <w:kern w:val="2"/>
          <w:highlight w:val="none"/>
          <w:lang w:eastAsia="zh-CN"/>
        </w:rPr>
        <w:t>）</w:t>
      </w:r>
      <w:r>
        <w:rPr>
          <w:rFonts w:hint="eastAsia" w:ascii="Times New Roman" w:cs="Times New Roman"/>
          <w:kern w:val="2"/>
          <w:highlight w:val="none"/>
        </w:rPr>
        <w:t>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鸡蛋</w:t>
      </w:r>
      <w:r>
        <w:rPr>
          <w:rFonts w:hint="eastAsia" w:ascii="Times New Roman" w:cs="Times New Roman"/>
          <w:kern w:val="2"/>
          <w:highlight w:val="none"/>
        </w:rPr>
        <w:t>中最大残留限量值为</w:t>
      </w:r>
      <w:r>
        <w:rPr>
          <w:rFonts w:ascii="Times New Roman" w:cs="Times New Roman"/>
          <w:kern w:val="2"/>
          <w:highlight w:val="none"/>
        </w:rPr>
        <w:t>10</w:t>
      </w:r>
      <w:r>
        <w:rPr>
          <w:rFonts w:hint="eastAsia" w:ascii="Times New Roman" w:cs="Times New Roman"/>
          <w:kern w:val="2"/>
          <w:highlight w:val="none"/>
        </w:rPr>
        <w:t>μg/kg。</w:t>
      </w:r>
    </w:p>
    <w:p w14:paraId="143B812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鸡蛋</w:t>
      </w:r>
      <w:r>
        <w:rPr>
          <w:rFonts w:hint="eastAsia" w:ascii="Times New Roman"/>
          <w:highlight w:val="none"/>
        </w:rPr>
        <w:t>中磺胺类(总量)</w:t>
      </w:r>
      <w:r>
        <w:rPr>
          <w:rFonts w:hint="eastAsia" w:ascii="Times New Roman" w:cs="Times New Roman"/>
          <w:kern w:val="2"/>
          <w:highlight w:val="none"/>
        </w:rPr>
        <w:t>超标。</w:t>
      </w:r>
      <w:r>
        <w:rPr>
          <w:rFonts w:hint="eastAsia" w:ascii="Times New Roman"/>
          <w:highlight w:val="none"/>
        </w:rPr>
        <w:t>原因可能是养殖户可能为快速控制疫病，违反规定加大用药量或不遵守休药期，导致残留量超标。</w:t>
      </w:r>
    </w:p>
    <w:p w14:paraId="639B4DF6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492CE1E1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十</w:t>
      </w:r>
      <w:r>
        <w:rPr>
          <w:rFonts w:hint="eastAsia" w:ascii="黑体" w:hAnsi="黑体" w:eastAsia="黑体"/>
          <w:highlight w:val="none"/>
          <w:lang w:val="en-US" w:eastAsia="zh-CN"/>
        </w:rPr>
        <w:t>六</w:t>
      </w:r>
      <w:r>
        <w:rPr>
          <w:rFonts w:hint="eastAsia" w:ascii="黑体" w:hAnsi="黑体" w:eastAsia="黑体"/>
          <w:highlight w:val="none"/>
        </w:rPr>
        <w:t>、恩诺沙星</w:t>
      </w:r>
    </w:p>
    <w:p w14:paraId="20B4904D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恩诺沙星是一种人工合成的广谱抗菌药，属于第三代喹诺酮类药物</w:t>
      </w:r>
      <w:r>
        <w:rPr>
          <w:rFonts w:hint="eastAsia" w:ascii="Times New Roman" w:cs="Times New Roman"/>
          <w:kern w:val="2"/>
          <w:highlight w:val="none"/>
          <w:lang w:eastAsia="zh-CN"/>
        </w:rPr>
        <w:t>，</w:t>
      </w:r>
      <w:r>
        <w:rPr>
          <w:rFonts w:hint="eastAsia" w:ascii="Times New Roman" w:cs="Times New Roman"/>
          <w:kern w:val="2"/>
          <w:highlight w:val="none"/>
        </w:rPr>
        <w:t>它主要用于治疗动物的皮肤感染、呼吸道感染等疾病，是动物专属用药。长期摄入恩诺沙星超标的食品，可能引起头晕、头痛、睡眠不良、胃肠道不适等症状，还可能对人体机能产生危害，使人体产生耐药性菌株。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根据</w:t>
      </w:r>
      <w:r>
        <w:rPr>
          <w:rFonts w:hint="eastAsia" w:ascii="Times New Roman" w:cs="Times New Roman"/>
          <w:kern w:val="2"/>
          <w:highlight w:val="none"/>
        </w:rPr>
        <w:t>《食品安全国家标准 食品中兽药最大残留限量》（GB 31650-2019）中规定，恩诺沙星在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淡水鱼</w:t>
      </w:r>
      <w:r>
        <w:rPr>
          <w:rFonts w:hint="eastAsia" w:ascii="Times New Roman" w:cs="Times New Roman"/>
          <w:kern w:val="2"/>
          <w:highlight w:val="none"/>
        </w:rPr>
        <w:t>中最大残留限量值为</w:t>
      </w:r>
      <w:r>
        <w:rPr>
          <w:rFonts w:ascii="Times New Roman" w:cs="Times New Roman"/>
          <w:kern w:val="2"/>
          <w:highlight w:val="none"/>
        </w:rPr>
        <w:t>10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0</w:t>
      </w:r>
      <w:r>
        <w:rPr>
          <w:rFonts w:hint="eastAsia" w:ascii="Times New Roman" w:cs="Times New Roman"/>
          <w:kern w:val="2"/>
          <w:highlight w:val="none"/>
        </w:rPr>
        <w:t>μg/kg。</w:t>
      </w:r>
    </w:p>
    <w:p w14:paraId="0DCC9AD4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  <w:lang w:val="en-US" w:eastAsia="zh-CN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淡水鱼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</w:rPr>
        <w:t>恩诺沙星超标。</w:t>
      </w:r>
      <w:r>
        <w:rPr>
          <w:rFonts w:hint="eastAsia" w:ascii="Times New Roman"/>
          <w:highlight w:val="none"/>
        </w:rPr>
        <w:t>原因可能是养殖户可能为快速控制疫病，违反规定加大用药量或不遵守休药期，导致残留量超标。</w:t>
      </w:r>
    </w:p>
    <w:p w14:paraId="710B1712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黑体" w:hAnsi="黑体" w:eastAsia="黑体"/>
          <w:highlight w:val="none"/>
          <w:lang w:val="en-US" w:eastAsia="zh-CN"/>
        </w:rPr>
      </w:pPr>
    </w:p>
    <w:p w14:paraId="355DFE94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十七</w:t>
      </w:r>
      <w:r>
        <w:rPr>
          <w:rFonts w:hint="eastAsia" w:ascii="黑体" w:hAnsi="黑体" w:eastAsia="黑体"/>
          <w:highlight w:val="none"/>
        </w:rPr>
        <w:t>、过</w:t>
      </w:r>
      <w:r>
        <w:rPr>
          <w:rFonts w:ascii="黑体" w:hAnsi="黑体" w:eastAsia="黑体"/>
          <w:highlight w:val="none"/>
        </w:rPr>
        <w:t>氧化值</w:t>
      </w:r>
    </w:p>
    <w:p w14:paraId="3EF56BCA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  <w:r>
        <w:rPr>
          <w:rFonts w:ascii="Segoe UI" w:hAnsi="Segoe UI" w:cs="Segoe UI"/>
          <w:color w:val="333333"/>
          <w:highlight w:val="none"/>
          <w:shd w:val="clear" w:color="auto" w:fill="FFFFFF"/>
        </w:rPr>
        <w:t>过氧化值表示油脂和脂肪酸等被氧化程度的一种指标，用于说明样品是否因已被氧化而变质，那些以油脂、脂肪为原料而制作的食品，通过检测其过氧化值来判断其质量和变质程度。</w:t>
      </w:r>
      <w:r>
        <w:rPr>
          <w:rFonts w:hint="eastAsia" w:ascii="Times New Roman"/>
          <w:highlight w:val="none"/>
        </w:rPr>
        <w:t>根据《食品安全国家标准 腌腊肉制品》（GB 2730-2015）中规定，腌腊肉制品中过氧化值</w:t>
      </w:r>
      <w:r>
        <w:rPr>
          <w:rFonts w:ascii="Times New Roman"/>
          <w:highlight w:val="none"/>
        </w:rPr>
        <w:t>的</w:t>
      </w:r>
      <w:r>
        <w:rPr>
          <w:rFonts w:hint="eastAsia" w:cs="Times New Roman"/>
          <w:highlight w:val="none"/>
        </w:rPr>
        <w:t>检测结果不得超过0.</w:t>
      </w:r>
      <w:r>
        <w:rPr>
          <w:rFonts w:hint="eastAsia" w:cs="Times New Roman"/>
          <w:highlight w:val="none"/>
          <w:lang w:val="en-US" w:eastAsia="zh-CN"/>
        </w:rPr>
        <w:t>5</w:t>
      </w:r>
      <w:r>
        <w:rPr>
          <w:rFonts w:cs="Times New Roman"/>
          <w:highlight w:val="none"/>
        </w:rPr>
        <w:t>g/100g</w:t>
      </w:r>
      <w:r>
        <w:rPr>
          <w:rFonts w:hint="eastAsia" w:ascii="Times New Roman"/>
          <w:highlight w:val="none"/>
        </w:rPr>
        <w:t>。根据《食品安全国家标准 坚果与籽类食品》</w:t>
      </w:r>
      <w:r>
        <w:rPr>
          <w:rFonts w:hint="eastAsia" w:ascii="Times New Roman"/>
          <w:highlight w:val="none"/>
          <w:lang w:eastAsia="zh-CN"/>
        </w:rPr>
        <w:t>（GB 19300-2014）</w:t>
      </w:r>
      <w:r>
        <w:rPr>
          <w:rFonts w:hint="eastAsia" w:ascii="Times New Roman"/>
          <w:highlight w:val="none"/>
        </w:rPr>
        <w:t>规定</w:t>
      </w:r>
      <w:r>
        <w:rPr>
          <w:rFonts w:ascii="Times New Roman"/>
          <w:highlight w:val="none"/>
        </w:rPr>
        <w:t>，</w:t>
      </w:r>
      <w:r>
        <w:rPr>
          <w:rFonts w:hint="eastAsia" w:ascii="Times New Roman"/>
          <w:highlight w:val="none"/>
        </w:rPr>
        <w:t>炒货食品及坚果制品中过氧化值</w:t>
      </w:r>
      <w:r>
        <w:rPr>
          <w:rFonts w:ascii="Times New Roman"/>
          <w:highlight w:val="none"/>
        </w:rPr>
        <w:t>的</w:t>
      </w:r>
      <w:r>
        <w:rPr>
          <w:rFonts w:hint="eastAsia" w:cs="Times New Roman"/>
          <w:highlight w:val="none"/>
        </w:rPr>
        <w:t>检测结果不得超过0.</w:t>
      </w:r>
      <w:r>
        <w:rPr>
          <w:rFonts w:hint="eastAsia" w:cs="Times New Roman"/>
          <w:highlight w:val="none"/>
          <w:lang w:val="en-US" w:eastAsia="zh-CN"/>
        </w:rPr>
        <w:t>80</w:t>
      </w:r>
      <w:r>
        <w:rPr>
          <w:rFonts w:cs="Times New Roman"/>
          <w:highlight w:val="none"/>
        </w:rPr>
        <w:t>g/100g</w:t>
      </w:r>
      <w:r>
        <w:rPr>
          <w:rFonts w:hint="eastAsia" w:cs="Times New Roman"/>
          <w:highlight w:val="none"/>
        </w:rPr>
        <w:t>。</w:t>
      </w:r>
    </w:p>
    <w:p w14:paraId="4843693E">
      <w:pPr>
        <w:pStyle w:val="2"/>
        <w:kinsoku w:val="0"/>
        <w:overflowPunct w:val="0"/>
        <w:spacing w:before="0"/>
        <w:ind w:left="0" w:firstLine="640" w:firstLineChars="200"/>
        <w:rPr>
          <w:rFonts w:ascii="Arial" w:hAnsi="Arial" w:cs="Arial"/>
          <w:color w:val="191919"/>
          <w:highlight w:val="none"/>
          <w:shd w:val="clear" w:color="auto" w:fill="FFFFFF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批次腌腊肉制品</w:t>
      </w:r>
      <w:r>
        <w:rPr>
          <w:rFonts w:hint="eastAsia" w:ascii="Times New Roman"/>
          <w:highlight w:val="none"/>
          <w:lang w:eastAsia="zh-CN"/>
        </w:rPr>
        <w:t>，</w:t>
      </w:r>
      <w:r>
        <w:rPr>
          <w:rFonts w:hint="eastAsia" w:ascii="Times New Roman"/>
          <w:highlight w:val="none"/>
          <w:lang w:val="en-US" w:eastAsia="zh-CN"/>
        </w:rPr>
        <w:t>2批次</w:t>
      </w:r>
      <w:r>
        <w:rPr>
          <w:rFonts w:hint="eastAsia" w:ascii="Times New Roman"/>
          <w:highlight w:val="none"/>
          <w:lang w:eastAsia="zh-CN"/>
        </w:rPr>
        <w:t>炒货食品及坚果制品</w:t>
      </w:r>
      <w:r>
        <w:rPr>
          <w:rFonts w:hint="eastAsia" w:ascii="Times New Roman"/>
          <w:highlight w:val="none"/>
        </w:rPr>
        <w:t>中过氧化值</w:t>
      </w:r>
      <w:r>
        <w:rPr>
          <w:rFonts w:ascii="Times New Roman"/>
          <w:highlight w:val="none"/>
        </w:rPr>
        <w:t>超标</w:t>
      </w:r>
      <w:r>
        <w:rPr>
          <w:rFonts w:hint="eastAsia" w:ascii="Times New Roman"/>
          <w:highlight w:val="none"/>
        </w:rPr>
        <w:t>，过氧化值</w:t>
      </w:r>
      <w:r>
        <w:rPr>
          <w:rFonts w:ascii="Times New Roman"/>
          <w:highlight w:val="none"/>
        </w:rPr>
        <w:t>超标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可能由于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产品在储存过程中环境条件控制不当，也可能是原料中的脂肪已经氧化。此外，油脂精炼不到位也可能造成食用油、油脂及其制品的过氧化值不合格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。</w:t>
      </w:r>
    </w:p>
    <w:p w14:paraId="1968A4FB">
      <w:pPr>
        <w:pStyle w:val="2"/>
        <w:kinsoku w:val="0"/>
        <w:overflowPunct w:val="0"/>
        <w:spacing w:before="0"/>
        <w:ind w:left="0" w:firstLine="640" w:firstLineChars="200"/>
        <w:rPr>
          <w:rFonts w:ascii="Arial" w:hAnsi="Arial" w:cs="Arial"/>
          <w:color w:val="191919"/>
          <w:highlight w:val="none"/>
          <w:shd w:val="clear" w:color="auto" w:fill="FFFFFF"/>
        </w:rPr>
      </w:pPr>
    </w:p>
    <w:p w14:paraId="7343B2FA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十八</w:t>
      </w:r>
      <w:r>
        <w:rPr>
          <w:rFonts w:hint="eastAsia" w:ascii="黑体" w:hAnsi="黑体" w:eastAsia="黑体"/>
          <w:highlight w:val="none"/>
        </w:rPr>
        <w:t>、酸价</w:t>
      </w:r>
    </w:p>
    <w:p w14:paraId="555FA860">
      <w:pPr>
        <w:widowControl/>
        <w:suppressAutoHyphens/>
        <w:spacing w:line="59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酸价主要反映食品中的油脂酸败的程度，油脂酸败产生的醛酮类化合物长期摄入会对健康有一定影响。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食品安全国家标准 坚果与籽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食品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（GB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19300-2014）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中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规定，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生干籽类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酸价（以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脂肪计）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检测结果不得超过3mg/g。</w:t>
      </w:r>
    </w:p>
    <w:p w14:paraId="7E703A24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Arial" w:hAnsi="Arial" w:cs="Arial"/>
          <w:color w:val="191919"/>
          <w:highlight w:val="none"/>
          <w:shd w:val="clear" w:color="auto" w:fill="FFFFFF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</w:t>
      </w:r>
      <w:r>
        <w:rPr>
          <w:rFonts w:hint="eastAsia" w:ascii="Times New Roman" w:cs="Times New Roman"/>
          <w:highlight w:val="none"/>
        </w:rPr>
        <w:t>发现有</w:t>
      </w:r>
      <w:r>
        <w:rPr>
          <w:rFonts w:hint="eastAsia" w:ascii="Times New Roman" w:cs="Times New Roman"/>
          <w:highlight w:val="none"/>
          <w:lang w:val="en-US" w:eastAsia="zh-CN"/>
        </w:rPr>
        <w:t>2</w:t>
      </w:r>
      <w:r>
        <w:rPr>
          <w:rFonts w:hint="eastAsia" w:ascii="Times New Roman" w:cs="Times New Roman"/>
          <w:highlight w:val="none"/>
        </w:rPr>
        <w:t>批次生干籽类食品酸价</w:t>
      </w:r>
      <w:r>
        <w:rPr>
          <w:rFonts w:hint="eastAsia" w:cs="Times New Roman"/>
          <w:highlight w:val="none"/>
        </w:rPr>
        <w:t>（以</w:t>
      </w:r>
      <w:r>
        <w:rPr>
          <w:rFonts w:cs="Times New Roman"/>
          <w:highlight w:val="none"/>
        </w:rPr>
        <w:t>脂肪计）</w:t>
      </w:r>
      <w:r>
        <w:rPr>
          <w:rFonts w:hint="eastAsia" w:ascii="Times New Roman" w:cs="Times New Roman"/>
          <w:highlight w:val="none"/>
        </w:rPr>
        <w:t>超标</w:t>
      </w:r>
      <w:r>
        <w:rPr>
          <w:rFonts w:hint="eastAsia" w:ascii="Times New Roman" w:cs="Times New Roman"/>
          <w:highlight w:val="none"/>
          <w:lang w:eastAsia="zh-CN"/>
        </w:rPr>
        <w:t>，</w:t>
      </w:r>
      <w:r>
        <w:rPr>
          <w:rFonts w:hint="eastAsia" w:ascii="Times New Roman"/>
          <w:highlight w:val="none"/>
        </w:rPr>
        <w:t>造成酸价不合格的主要原因是产品储藏条件不当，特别是在夏季，受气候环境影响因素更大，易导致食品中脂肪的氧化酸败。</w:t>
      </w:r>
    </w:p>
    <w:p w14:paraId="26EE9D99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  <w:lang w:val="en-US" w:eastAsia="zh-CN"/>
        </w:rPr>
      </w:pPr>
    </w:p>
    <w:p w14:paraId="43974D4F">
      <w:pPr>
        <w:pStyle w:val="2"/>
        <w:kinsoku w:val="0"/>
        <w:overflowPunct w:val="0"/>
        <w:spacing w:before="0"/>
        <w:ind w:left="0" w:firstLine="640" w:firstLineChars="200"/>
        <w:rPr>
          <w:rFonts w:hint="default" w:ascii="黑体" w:hAnsi="黑体" w:eastAsia="黑体"/>
          <w:highlight w:val="none"/>
          <w:lang w:val="en-US" w:eastAsia="zh-CN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十九</w:t>
      </w:r>
      <w:r>
        <w:rPr>
          <w:rFonts w:hint="eastAsia" w:ascii="黑体" w:hAnsi="黑体" w:eastAsia="黑体"/>
          <w:highlight w:val="none"/>
        </w:rPr>
        <w:t>、</w:t>
      </w:r>
      <w:r>
        <w:rPr>
          <w:rFonts w:hint="eastAsia" w:ascii="黑体" w:hAnsi="黑体" w:eastAsia="黑体"/>
          <w:highlight w:val="none"/>
          <w:lang w:val="en-US" w:eastAsia="zh-CN"/>
        </w:rPr>
        <w:t>二氧化硫残留量</w:t>
      </w:r>
    </w:p>
    <w:p w14:paraId="58932E64">
      <w:pPr>
        <w:pStyle w:val="2"/>
        <w:kinsoku w:val="0"/>
        <w:overflowPunct w:val="0"/>
        <w:spacing w:before="0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  <w:lang w:eastAsia="zh-CN"/>
        </w:rPr>
        <w:t>二氧化硫在食品加工中常用作漂白剂和防腐剂，在食糖加工中，二氧化硫主要用于澄清和脱色，能改善产品的色泽，长期摄入二氧化硫超标的食糖，可能引起恶心、呕吐等胃肠道反应，甚至对呼吸系统和其它器官造成损害。</w:t>
      </w:r>
      <w:r>
        <w:rPr>
          <w:rFonts w:hint="eastAsia" w:ascii="Times New Roman"/>
          <w:highlight w:val="none"/>
        </w:rPr>
        <w:t>根据《食品安全国家标准 食品添加剂使用标准》（GB 2760）中规定，</w:t>
      </w:r>
      <w:r>
        <w:rPr>
          <w:rFonts w:hint="eastAsia" w:ascii="Times New Roman"/>
          <w:highlight w:val="none"/>
          <w:lang w:eastAsia="zh-CN"/>
        </w:rPr>
        <w:t>二氧化硫残留量</w:t>
      </w:r>
      <w:r>
        <w:rPr>
          <w:rFonts w:ascii="Times New Roman"/>
          <w:highlight w:val="none"/>
        </w:rPr>
        <w:t>在</w:t>
      </w:r>
      <w:r>
        <w:rPr>
          <w:rFonts w:hint="eastAsia" w:ascii="Times New Roman"/>
          <w:highlight w:val="none"/>
          <w:lang w:val="en-US" w:eastAsia="zh-CN"/>
        </w:rPr>
        <w:t>酱腌菜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  <w:lang w:val="en-US" w:eastAsia="zh-CN"/>
        </w:rPr>
        <w:t>不得超过0.1 g/kg，在开心果、杏仁、扁桃仁、松仁、瓜子中不得使用</w:t>
      </w:r>
      <w:r>
        <w:rPr>
          <w:rFonts w:hint="eastAsia" w:ascii="Times New Roman"/>
          <w:highlight w:val="none"/>
        </w:rPr>
        <w:t>。</w:t>
      </w:r>
    </w:p>
    <w:p w14:paraId="1BEEE3EF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食品安全监督抽检发现有</w:t>
      </w:r>
      <w:r>
        <w:rPr>
          <w:rFonts w:hint="eastAsia" w:ascii="Times New Roman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酱腌菜，1批次南瓜子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  <w:lang w:eastAsia="zh-CN"/>
        </w:rPr>
        <w:t>二氧化硫残留量</w:t>
      </w:r>
      <w:r>
        <w:rPr>
          <w:rFonts w:hint="eastAsia" w:ascii="Times New Roman"/>
          <w:highlight w:val="none"/>
          <w:lang w:val="en-US" w:eastAsia="zh-CN"/>
        </w:rPr>
        <w:t>超标</w:t>
      </w:r>
      <w:r>
        <w:rPr>
          <w:rFonts w:hint="eastAsia" w:ascii="Times New Roman"/>
          <w:highlight w:val="none"/>
        </w:rPr>
        <w:t>。超标</w:t>
      </w:r>
      <w:r>
        <w:rPr>
          <w:rFonts w:ascii="Times New Roman"/>
          <w:highlight w:val="none"/>
        </w:rPr>
        <w:t>原因</w:t>
      </w:r>
      <w:r>
        <w:rPr>
          <w:rFonts w:hint="eastAsia" w:ascii="Times New Roman"/>
          <w:highlight w:val="none"/>
        </w:rPr>
        <w:t>可能是生产企业为改善产品色泽或延长保质期而超量使用二氧化硫，也可能是生产工艺控制不当，</w:t>
      </w:r>
      <w:r>
        <w:rPr>
          <w:rFonts w:hint="eastAsia" w:ascii="Times New Roman"/>
          <w:highlight w:val="none"/>
          <w:lang w:val="en-US" w:eastAsia="zh-CN"/>
        </w:rPr>
        <w:t>计量不准</w:t>
      </w:r>
      <w:r>
        <w:rPr>
          <w:rFonts w:hint="eastAsia" w:ascii="Times New Roman"/>
          <w:highlight w:val="none"/>
        </w:rPr>
        <w:t>导致残留量超标。</w:t>
      </w:r>
    </w:p>
    <w:p w14:paraId="5927C357">
      <w:pPr>
        <w:pStyle w:val="2"/>
        <w:kinsoku w:val="0"/>
        <w:overflowPunct w:val="0"/>
        <w:spacing w:before="0"/>
        <w:ind w:left="0" w:firstLine="640" w:firstLineChars="200"/>
        <w:rPr>
          <w:rFonts w:ascii="Times New Roman"/>
          <w:highlight w:val="none"/>
        </w:rPr>
      </w:pPr>
    </w:p>
    <w:p w14:paraId="0AFC5708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</w:t>
      </w:r>
      <w:r>
        <w:rPr>
          <w:rFonts w:hint="eastAsia" w:ascii="黑体" w:hAnsi="黑体" w:eastAsia="黑体"/>
          <w:highlight w:val="none"/>
        </w:rPr>
        <w:t>、大肠菌群</w:t>
      </w:r>
    </w:p>
    <w:p w14:paraId="28BE91A8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大肠菌群是国内外通用的食品污染常用指示菌之一。食品中检出大肠菌群，提示被致病菌污染的可能性较大，或反映该食品卫生状况不达标。根据《食品安全国家标准 冷冻饮品和制作料》（GB 2759）中规定，冰淇淋、雪糕、雪泥、冰棍、食用冰、甜味冰、其他类中大肠菌群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最大允许限为n=5,c=2,m=10,M=100 CFU/g；根据产品明示标准和质量要求，米粉制品中</w:t>
      </w:r>
      <w:r>
        <w:rPr>
          <w:rFonts w:hint="eastAsia" w:ascii="Times New Roman"/>
          <w:highlight w:val="none"/>
        </w:rPr>
        <w:t>大肠菌群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最大允许限为n=5,c=2,m=10,M=100 CFU/g；</w:t>
      </w:r>
      <w:r>
        <w:rPr>
          <w:rFonts w:hint="eastAsia" w:ascii="Times New Roman"/>
          <w:highlight w:val="none"/>
        </w:rPr>
        <w:t>根据《食品安全国家标准 消毒餐(饮)具》（GB 14934-2016）中规定，复用餐饮具(餐馆自行消毒)</w:t>
      </w:r>
      <w:r>
        <w:rPr>
          <w:rFonts w:hint="eastAsia" w:ascii="Times New Roman"/>
          <w:highlight w:val="none"/>
          <w:lang w:val="en-US" w:eastAsia="zh-CN"/>
        </w:rPr>
        <w:t>中</w:t>
      </w:r>
      <w:r>
        <w:rPr>
          <w:rFonts w:hint="eastAsia" w:ascii="Times New Roman"/>
          <w:highlight w:val="none"/>
        </w:rPr>
        <w:t>大肠菌群</w:t>
      </w:r>
      <w:r>
        <w:rPr>
          <w:rFonts w:hint="eastAsia" w:ascii="Times New Roman"/>
          <w:highlight w:val="none"/>
          <w:lang w:val="en-US" w:eastAsia="zh-CN"/>
        </w:rPr>
        <w:t>不得检出</w:t>
      </w:r>
      <w:r>
        <w:rPr>
          <w:rFonts w:hint="eastAsia" w:ascii="Times New Roman"/>
          <w:highlight w:val="none"/>
        </w:rPr>
        <w:t>。</w:t>
      </w:r>
    </w:p>
    <w:p w14:paraId="1BD59642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食品安全监督抽检发现有</w:t>
      </w:r>
      <w:r>
        <w:rPr>
          <w:rFonts w:hint="eastAsia" w:ascii="Times New Roman"/>
          <w:highlight w:val="none"/>
          <w:lang w:val="en-US" w:eastAsia="zh-CN"/>
        </w:rPr>
        <w:t>4批次绿豆沙冰，1批次鲜湿米粉，7批次</w:t>
      </w:r>
      <w:r>
        <w:rPr>
          <w:rFonts w:hint="eastAsia" w:ascii="Times New Roman"/>
          <w:highlight w:val="none"/>
        </w:rPr>
        <w:t>复用餐饮具</w:t>
      </w:r>
      <w:r>
        <w:rPr>
          <w:rFonts w:hint="eastAsia" w:ascii="Times New Roman"/>
          <w:highlight w:val="none"/>
          <w:lang w:val="en-US" w:eastAsia="zh-CN"/>
        </w:rPr>
        <w:t>中大肠菌群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超标</w:t>
      </w:r>
      <w:r>
        <w:rPr>
          <w:rFonts w:hint="eastAsia" w:ascii="Times New Roman"/>
          <w:highlight w:val="none"/>
        </w:rPr>
        <w:t>。大肠菌群超标可能由于包装材料受污染，或在清洗消毒过程中产品受人员、工器具等生产设备、环境的污染、灭菌不彻底而导致。</w:t>
      </w:r>
    </w:p>
    <w:p w14:paraId="215752E1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1231AB26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二十一</w:t>
      </w:r>
      <w:r>
        <w:rPr>
          <w:rFonts w:hint="eastAsia" w:ascii="黑体" w:hAnsi="黑体" w:eastAsia="黑体"/>
          <w:highlight w:val="none"/>
        </w:rPr>
        <w:t>、菌落总数</w:t>
      </w:r>
    </w:p>
    <w:p w14:paraId="36409EE6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default" w:ascii="Times New Roman" w:eastAsia="仿宋_GB2312"/>
          <w:highlight w:val="none"/>
          <w:lang w:val="en-US" w:eastAsia="zh-CN"/>
        </w:rPr>
      </w:pPr>
      <w:r>
        <w:rPr>
          <w:rFonts w:hint="eastAsia" w:ascii="Times New Roman"/>
          <w:highlight w:val="none"/>
        </w:rPr>
        <w:t>菌落总数是用来判定食品被细菌污染的程度及卫生质量，它反映食品在生产过程中是否符合卫生要求，以便对被检样品做出适当的</w:t>
      </w:r>
      <w:r>
        <w:rPr>
          <w:rFonts w:hint="eastAsia" w:ascii="Times New Roman"/>
          <w:highlight w:val="none"/>
        </w:rPr>
        <w:fldChar w:fldCharType="begin"/>
      </w:r>
      <w:r>
        <w:rPr>
          <w:rFonts w:hint="eastAsia" w:ascii="Times New Roman"/>
          <w:highlight w:val="none"/>
        </w:rPr>
        <w:instrText xml:space="preserve"> HYPERLINK "https://zhida.zhihu.com/search?content_id=104646815&amp;content_type=Article&amp;match_order=1&amp;q=%E5%8D%AB%E7%94%9F%E5%AD%A6%E8%AF%84%E4%BB%B7&amp;zd_token=eyJhbGciOiJIUzI1NiIsInR5cCI6IkpXVCJ9.eyJpc3MiOiJ6aGlkYV9zZXJ2ZXIiLCJleHAiOjE3NTAzODA5NjYsInEiOiLljavnlJ_lrabor4Tku7ciLCJ6aGlkYV9zb3VyY2UiOiJlbnRpdHkiLCJjb250ZW50X2lkIjoxMDQ2NDY4MTUsImNvbnRlbnRfdHlwZSI6IkFydGljbGUiLCJtYXRjaF9vcmRlciI6MSwiemRfdG9rZW4iOm51bGx9.NWJl8Q2HFhJzZLPWKqIGzyH1AWSTq3hHs58B9Vr9d5c&amp;zhida_source=entity" \t "https://zhuanlan.zhihu.com/p/_blank" </w:instrText>
      </w:r>
      <w:r>
        <w:rPr>
          <w:rFonts w:hint="eastAsia" w:ascii="Times New Roman"/>
          <w:highlight w:val="none"/>
        </w:rPr>
        <w:fldChar w:fldCharType="separate"/>
      </w:r>
      <w:r>
        <w:rPr>
          <w:rFonts w:hint="eastAsia" w:ascii="Times New Roman"/>
          <w:highlight w:val="none"/>
        </w:rPr>
        <w:t>卫生学评价</w:t>
      </w:r>
      <w:r>
        <w:rPr>
          <w:rFonts w:hint="eastAsia" w:ascii="Times New Roman"/>
          <w:highlight w:val="none"/>
        </w:rPr>
        <w:fldChar w:fldCharType="end"/>
      </w:r>
      <w:r>
        <w:rPr>
          <w:rFonts w:hint="eastAsia" w:ascii="Times New Roman"/>
          <w:highlight w:val="none"/>
        </w:rPr>
        <w:t>。菌落总数如果超标将会破坏食品的营养成分，加速</w:t>
      </w:r>
      <w:r>
        <w:rPr>
          <w:rFonts w:hint="eastAsia" w:ascii="Times New Roman"/>
          <w:highlight w:val="none"/>
        </w:rPr>
        <w:fldChar w:fldCharType="begin"/>
      </w:r>
      <w:r>
        <w:rPr>
          <w:rFonts w:hint="eastAsia" w:ascii="Times New Roman"/>
          <w:highlight w:val="none"/>
        </w:rPr>
        <w:instrText xml:space="preserve"> HYPERLINK "https://zhida.zhihu.com/search?content_id=104646815&amp;content_type=Article&amp;match_order=1&amp;q=%E9%A3%9F%E5%93%81%E7%9A%84%E8%85%90%E8%B4%A5&amp;zd_token=eyJhbGciOiJIUzI1NiIsInR5cCI6IkpXVCJ9.eyJpc3MiOiJ6aGlkYV9zZXJ2ZXIiLCJleHAiOjE3NTAzODA5NjYsInEiOiLpo5_lk4HnmoTohZDotKUiLCJ6aGlkYV9zb3VyY2UiOiJlbnRpdHkiLCJjb250ZW50X2lkIjoxMDQ2NDY4MTUsImNvbnRlbnRfdHlwZSI6IkFydGljbGUiLCJtYXRjaF9vcmRlciI6MSwiemRfdG9rZW4iOm51bGx9.Gbazny4BHod-FYk1k1fXvVpDizuyLhceHU1SYOn69jk&amp;zhida_source=entity" \t "https://zhuanlan.zhihu.com/p/_blank" </w:instrText>
      </w:r>
      <w:r>
        <w:rPr>
          <w:rFonts w:hint="eastAsia" w:ascii="Times New Roman"/>
          <w:highlight w:val="none"/>
        </w:rPr>
        <w:fldChar w:fldCharType="separate"/>
      </w:r>
      <w:r>
        <w:rPr>
          <w:rFonts w:hint="eastAsia" w:ascii="Times New Roman"/>
          <w:highlight w:val="none"/>
        </w:rPr>
        <w:t>食品的腐败</w:t>
      </w:r>
      <w:r>
        <w:rPr>
          <w:rFonts w:hint="eastAsia" w:ascii="Times New Roman"/>
          <w:highlight w:val="none"/>
        </w:rPr>
        <w:fldChar w:fldCharType="end"/>
      </w:r>
      <w:r>
        <w:rPr>
          <w:rFonts w:hint="eastAsia" w:ascii="Times New Roman"/>
          <w:highlight w:val="none"/>
        </w:rPr>
        <w:t>变质，使食品失去食用价值，容易患痢疾等肠道疾病，可能引起呕吐、腹泻等症状，危害人体健康安全。根据《食品安全国家标准 冷冻饮品和制作料》（GB 2759-2015）中规定，冰淇淋、雪糕、雪泥、冰棍、食用冰、甜味冰、其他类中菌落总数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最大允许限为n=5,c=2,m=25000,M=100000 CFU/g;</w:t>
      </w:r>
      <w:r>
        <w:rPr>
          <w:rFonts w:hint="eastAsia" w:ascii="Times New Roman"/>
          <w:highlight w:val="none"/>
        </w:rPr>
        <w:t>根据《食品安全国家标准 饮料》（GB 7101-2022）中规定，</w:t>
      </w:r>
      <w:r>
        <w:rPr>
          <w:rFonts w:hint="eastAsia" w:ascii="Times New Roman"/>
          <w:highlight w:val="none"/>
          <w:lang w:val="en-US" w:eastAsia="zh-CN"/>
        </w:rPr>
        <w:t>碳酸饮料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/>
          <w:highlight w:val="none"/>
          <w:lang w:val="en-US" w:eastAsia="zh-CN"/>
        </w:rPr>
        <w:t>菌落总数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最大允许限为n=5,c=2,m=100,M=10000 CFU/mL;</w:t>
      </w:r>
      <w:r>
        <w:rPr>
          <w:rFonts w:hint="eastAsia" w:ascii="Times New Roman"/>
          <w:highlight w:val="none"/>
        </w:rPr>
        <w:t>根据《食品安全国家标准 糕点、面包》（GB 7099-2015）中规定，</w:t>
      </w:r>
      <w:r>
        <w:rPr>
          <w:rFonts w:hint="eastAsia" w:ascii="Times New Roman"/>
          <w:highlight w:val="none"/>
          <w:lang w:val="en-US" w:eastAsia="zh-CN"/>
        </w:rPr>
        <w:t>糕点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/>
          <w:highlight w:val="none"/>
          <w:lang w:val="en-US" w:eastAsia="zh-CN"/>
        </w:rPr>
        <w:t>菌落总数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最大允许限为n=5,c=2,m=10000,M=100000 CFU/g;根据产品明示标准和质量要求，米粉制品中菌落总数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最大允许限为n=5,c=2,m=10000,M=100000CFU/g；</w:t>
      </w:r>
      <w:r>
        <w:rPr>
          <w:rFonts w:hint="eastAsia" w:ascii="Times New Roman"/>
          <w:highlight w:val="none"/>
        </w:rPr>
        <w:t>根据</w:t>
      </w:r>
      <w:r>
        <w:rPr>
          <w:rFonts w:hint="eastAsia" w:ascii="Times New Roman"/>
          <w:highlight w:val="none"/>
          <w:lang w:val="en-US" w:eastAsia="zh-CN"/>
        </w:rPr>
        <w:t>《食品安全国家标准 蜜饯》（GB 14884-2016）中规定，蜜饯类、凉果类、果脯类、话化类、果糕类中菌落总数的最大允许限为n=5,c=2,m=1000,M=10000CFU/g</w:t>
      </w:r>
      <w:r>
        <w:rPr>
          <w:rFonts w:hint="eastAsia" w:ascii="Times New Roman"/>
          <w:highlight w:val="none"/>
        </w:rPr>
        <w:t>。</w:t>
      </w:r>
    </w:p>
    <w:p w14:paraId="098CA79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食品安全监督抽检发现有</w:t>
      </w:r>
      <w:r>
        <w:rPr>
          <w:rFonts w:hint="eastAsia" w:ascii="Times New Roman"/>
          <w:highlight w:val="none"/>
          <w:lang w:val="en-US" w:eastAsia="zh-CN"/>
        </w:rPr>
        <w:t>4批次冷冻饮品，3批次糕点，2批次饮料，2批次米粉制品，1批次水果制品中</w:t>
      </w:r>
      <w:r>
        <w:rPr>
          <w:rFonts w:hint="eastAsia" w:ascii="Times New Roman"/>
          <w:highlight w:val="none"/>
        </w:rPr>
        <w:t>菌落总数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超标</w:t>
      </w:r>
      <w:r>
        <w:rPr>
          <w:rFonts w:hint="eastAsia" w:ascii="Times New Roman"/>
          <w:highlight w:val="none"/>
        </w:rPr>
        <w:t>。菌落总数超标可能</w:t>
      </w:r>
      <w:r>
        <w:rPr>
          <w:rFonts w:hint="eastAsia" w:ascii="Times New Roman"/>
          <w:highlight w:val="none"/>
          <w:lang w:val="en-US" w:eastAsia="zh-CN"/>
        </w:rPr>
        <w:t>由于</w:t>
      </w:r>
      <w:r>
        <w:rPr>
          <w:rFonts w:hint="eastAsia" w:ascii="Times New Roman"/>
          <w:highlight w:val="none"/>
        </w:rPr>
        <w:t>生产设备清洗不彻底、生产环境卫生条件差、生产人员操作不规范</w:t>
      </w:r>
      <w:r>
        <w:rPr>
          <w:rFonts w:hint="eastAsia" w:ascii="Times New Roman"/>
          <w:highlight w:val="none"/>
          <w:lang w:eastAsia="zh-CN"/>
        </w:rPr>
        <w:t>、冷链断链，即储存或运输过程中温度波动，包装材料或包装过程存在缺陷</w:t>
      </w:r>
      <w:r>
        <w:rPr>
          <w:rFonts w:hint="eastAsia" w:ascii="Times New Roman"/>
          <w:highlight w:val="none"/>
        </w:rPr>
        <w:t>等</w:t>
      </w:r>
      <w:r>
        <w:rPr>
          <w:rFonts w:hint="eastAsia" w:ascii="Times New Roman"/>
          <w:highlight w:val="none"/>
          <w:lang w:val="en-US" w:eastAsia="zh-CN"/>
        </w:rPr>
        <w:t>原因造成</w:t>
      </w:r>
      <w:r>
        <w:rPr>
          <w:rFonts w:hint="eastAsia" w:ascii="Times New Roman"/>
          <w:highlight w:val="none"/>
        </w:rPr>
        <w:t>。</w:t>
      </w:r>
    </w:p>
    <w:p w14:paraId="5F3F423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65D57260">
      <w:pPr>
        <w:pStyle w:val="2"/>
        <w:kinsoku w:val="0"/>
        <w:overflowPunct w:val="0"/>
        <w:spacing w:before="0"/>
        <w:ind w:left="0" w:firstLine="640" w:firstLineChars="20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二十二</w:t>
      </w:r>
      <w:r>
        <w:rPr>
          <w:rFonts w:hint="eastAsia" w:ascii="黑体" w:hAnsi="黑体" w:eastAsia="黑体"/>
          <w:highlight w:val="none"/>
        </w:rPr>
        <w:t>、铅(以Pb计)</w:t>
      </w:r>
    </w:p>
    <w:p w14:paraId="4CDEB5BD">
      <w:pPr>
        <w:pStyle w:val="2"/>
        <w:kinsoku w:val="0"/>
        <w:overflowPunct w:val="0"/>
        <w:spacing w:before="0"/>
        <w:ind w:left="0" w:firstLine="660" w:firstLineChars="200"/>
        <w:rPr>
          <w:rFonts w:ascii="Times New Roman"/>
          <w:highlight w:val="none"/>
        </w:rPr>
      </w:pP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铅(以Pb计)</w:t>
      </w:r>
      <w:r>
        <w:rPr>
          <w:rStyle w:val="24"/>
          <w:rFonts w:ascii="Arial" w:hAnsi="Arial" w:cs="Arial"/>
          <w:color w:val="192338"/>
          <w:spacing w:val="5"/>
          <w:highlight w:val="none"/>
          <w:shd w:val="clear" w:color="auto" w:fill="FFFFFF"/>
        </w:rPr>
        <w:t>是一种有毒重金属元素，广泛存在于自然界中，铅对中枢神经系统和周围神经系统都有损害作用，尤其是对儿童的影响更为严重，可能导致智力低下、学习障碍和行为异常。</w:t>
      </w:r>
      <w:r>
        <w:rPr>
          <w:rFonts w:ascii="Arial" w:hAnsi="Arial" w:cs="Arial"/>
          <w:color w:val="192338"/>
          <w:spacing w:val="5"/>
          <w:highlight w:val="none"/>
          <w:shd w:val="clear" w:color="auto" w:fill="FFFFFF"/>
        </w:rPr>
        <w:t>铅可抑制血红蛋白合成，引起贫血，表现为疲劳、乏力等症状。</w:t>
      </w:r>
      <w:r>
        <w:rPr>
          <w:rStyle w:val="24"/>
          <w:rFonts w:ascii="Arial" w:hAnsi="Arial" w:cs="Arial"/>
          <w:color w:val="192338"/>
          <w:spacing w:val="5"/>
          <w:highlight w:val="none"/>
          <w:shd w:val="clear" w:color="auto" w:fill="FFFFFF"/>
        </w:rPr>
        <w:t>成人长期暴露则可能出现神经衰弱、周围神经炎等症状。</w:t>
      </w:r>
      <w:r>
        <w:rPr>
          <w:rFonts w:hint="eastAsia" w:ascii="Times New Roman"/>
          <w:highlight w:val="none"/>
        </w:rPr>
        <w:t>根据《食品安全国家标准 食品中污染物限量》（GB 276</w:t>
      </w:r>
      <w:r>
        <w:rPr>
          <w:rFonts w:ascii="Times New Roman"/>
          <w:highlight w:val="none"/>
        </w:rPr>
        <w:t>2</w:t>
      </w:r>
      <w:r>
        <w:rPr>
          <w:rFonts w:hint="eastAsia" w:ascii="Times New Roman"/>
          <w:highlight w:val="none"/>
        </w:rPr>
        <w:t>）中规定，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铅(以Pb计)</w:t>
      </w:r>
      <w:r>
        <w:rPr>
          <w:rFonts w:hint="eastAsia" w:ascii="Times New Roman"/>
          <w:highlight w:val="none"/>
        </w:rPr>
        <w:t>在</w:t>
      </w:r>
      <w:r>
        <w:rPr>
          <w:rFonts w:hint="eastAsia" w:ascii="Times New Roman"/>
          <w:highlight w:val="none"/>
          <w:lang w:val="en-US" w:eastAsia="zh-CN"/>
        </w:rPr>
        <w:t>姜</w:t>
      </w:r>
      <w:r>
        <w:rPr>
          <w:rFonts w:hint="eastAsia" w:ascii="Times New Roman"/>
          <w:highlight w:val="none"/>
        </w:rPr>
        <w:t>中检测值不得超过</w:t>
      </w:r>
      <w:r>
        <w:rPr>
          <w:rFonts w:hint="eastAsia" w:ascii="Times New Roman"/>
          <w:highlight w:val="none"/>
          <w:lang w:val="en-US" w:eastAsia="zh-CN"/>
        </w:rPr>
        <w:t>0.2</w:t>
      </w:r>
      <w:r>
        <w:rPr>
          <w:rFonts w:ascii="Times New Roman"/>
          <w:highlight w:val="none"/>
        </w:rPr>
        <w:t xml:space="preserve"> mg/kg</w:t>
      </w:r>
      <w:r>
        <w:rPr>
          <w:rFonts w:hint="eastAsia" w:ascii="Times New Roman"/>
          <w:highlight w:val="none"/>
          <w:lang w:eastAsia="zh-CN"/>
        </w:rPr>
        <w:t>，</w:t>
      </w:r>
      <w:r>
        <w:rPr>
          <w:rFonts w:hint="eastAsia" w:ascii="Times New Roman"/>
          <w:highlight w:val="none"/>
        </w:rPr>
        <w:t>在</w:t>
      </w:r>
      <w:r>
        <w:rPr>
          <w:rFonts w:hint="eastAsia" w:ascii="Times New Roman"/>
          <w:highlight w:val="none"/>
          <w:lang w:val="en-US" w:eastAsia="zh-CN"/>
        </w:rPr>
        <w:t>生干籽类</w:t>
      </w:r>
      <w:r>
        <w:rPr>
          <w:rFonts w:hint="eastAsia" w:ascii="Times New Roman"/>
          <w:highlight w:val="none"/>
        </w:rPr>
        <w:t>中检测值不得超过</w:t>
      </w:r>
      <w:r>
        <w:rPr>
          <w:rFonts w:hint="eastAsia" w:ascii="Times New Roman"/>
          <w:highlight w:val="none"/>
          <w:lang w:val="en-US" w:eastAsia="zh-CN"/>
        </w:rPr>
        <w:t>0.2</w:t>
      </w:r>
      <w:r>
        <w:rPr>
          <w:rFonts w:ascii="Times New Roman"/>
          <w:highlight w:val="none"/>
        </w:rPr>
        <w:t xml:space="preserve"> mg/kg</w:t>
      </w:r>
      <w:r>
        <w:rPr>
          <w:rFonts w:hint="eastAsia" w:ascii="Times New Roman"/>
          <w:highlight w:val="none"/>
        </w:rPr>
        <w:t>。</w:t>
      </w:r>
    </w:p>
    <w:p w14:paraId="730A8DBB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</w:t>
      </w:r>
      <w:r>
        <w:rPr>
          <w:rFonts w:hint="eastAsia" w:ascii="Times New Roman"/>
          <w:highlight w:val="none"/>
          <w:lang w:val="en-US" w:eastAsia="zh-CN"/>
        </w:rPr>
        <w:t>区</w:t>
      </w:r>
      <w:r>
        <w:rPr>
          <w:rFonts w:hint="eastAsia" w:ascii="Times New Roman"/>
          <w:highlight w:val="none"/>
        </w:rPr>
        <w:t>抽”食品安全监督抽检发现有</w:t>
      </w:r>
      <w:r>
        <w:rPr>
          <w:rFonts w:hint="eastAsia" w:ascii="Times New Roman"/>
          <w:highlight w:val="none"/>
          <w:lang w:val="en-US" w:eastAsia="zh-CN"/>
        </w:rPr>
        <w:t>8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姜，1批次生干籽类</w:t>
      </w:r>
      <w:r>
        <w:rPr>
          <w:rFonts w:ascii="Times New Roman"/>
          <w:highlight w:val="none"/>
        </w:rPr>
        <w:t>中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铅(以Pb计)超标</w:t>
      </w:r>
      <w:r>
        <w:rPr>
          <w:rFonts w:hint="eastAsia" w:ascii="Times New Roman"/>
          <w:highlight w:val="none"/>
        </w:rPr>
        <w:t>。超标</w:t>
      </w:r>
      <w:r>
        <w:rPr>
          <w:rFonts w:ascii="Times New Roman"/>
          <w:highlight w:val="none"/>
        </w:rPr>
        <w:t>原因</w:t>
      </w:r>
      <w:r>
        <w:rPr>
          <w:rFonts w:hint="eastAsia" w:ascii="Times New Roman"/>
          <w:highlight w:val="none"/>
        </w:rPr>
        <w:t>可能是</w:t>
      </w:r>
      <w:r>
        <w:rPr>
          <w:rFonts w:ascii="Times New Roman"/>
          <w:highlight w:val="none"/>
        </w:rPr>
        <w:t>环境污染导致的食品链污染。以及</w:t>
      </w:r>
      <w:r>
        <w:rPr>
          <w:rFonts w:hint="eastAsia" w:ascii="Times New Roman"/>
          <w:highlight w:val="none"/>
        </w:rPr>
        <w:t>农业生产活动中使用含铅的农药、化肥和灌溉水可能导致农作物直接吸收铅导致铅超标。</w:t>
      </w:r>
    </w:p>
    <w:p w14:paraId="434D3F4A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505FE689">
      <w:pPr>
        <w:pStyle w:val="2"/>
        <w:kinsoku w:val="0"/>
        <w:overflowPunct w:val="0"/>
        <w:spacing w:before="0"/>
        <w:ind w:left="0" w:firstLine="640" w:firstLineChars="20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二十三</w:t>
      </w:r>
      <w:r>
        <w:rPr>
          <w:rFonts w:hint="eastAsia" w:ascii="黑体" w:hAnsi="黑体" w:eastAsia="黑体"/>
          <w:highlight w:val="none"/>
        </w:rPr>
        <w:t>、镉(以Cd计)</w:t>
      </w:r>
    </w:p>
    <w:p w14:paraId="4309486D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Ansi="黑体"/>
          <w:highlight w:val="none"/>
        </w:rPr>
      </w:pPr>
      <w:r>
        <w:rPr>
          <w:rFonts w:hint="eastAsia" w:ascii="Times New Roman"/>
          <w:highlight w:val="none"/>
        </w:rPr>
        <w:t>镉（Cd）是对</w:t>
      </w:r>
      <w:bookmarkStart w:id="0" w:name="_GoBack"/>
      <w:bookmarkEnd w:id="0"/>
      <w:r>
        <w:rPr>
          <w:rFonts w:hint="eastAsia" w:ascii="Times New Roman"/>
          <w:highlight w:val="none"/>
        </w:rPr>
        <w:t>人体有害的元素，在自然界中多以化合态存在，镉可通过食物链进入人体，引起慢性中毒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。</w:t>
      </w:r>
      <w:r>
        <w:rPr>
          <w:rFonts w:hint="eastAsia" w:ascii="Times New Roman"/>
          <w:highlight w:val="none"/>
        </w:rPr>
        <w:t>根据《食品安全国家标准 食品中污染物限量》（</w:t>
      </w:r>
      <w:r>
        <w:rPr>
          <w:rFonts w:ascii="Times New Roman"/>
          <w:highlight w:val="none"/>
        </w:rPr>
        <w:t>GB 2762</w:t>
      </w:r>
      <w:r>
        <w:rPr>
          <w:rFonts w:hint="eastAsia" w:ascii="Times New Roman"/>
          <w:highlight w:val="none"/>
        </w:rPr>
        <w:t>）中规定，镉（Cd）</w:t>
      </w:r>
      <w:r>
        <w:rPr>
          <w:rFonts w:hint="eastAsia" w:hAnsi="黑体"/>
          <w:highlight w:val="none"/>
        </w:rPr>
        <w:t>在</w:t>
      </w:r>
      <w:r>
        <w:rPr>
          <w:rFonts w:hint="eastAsia" w:hAnsi="黑体"/>
          <w:highlight w:val="none"/>
          <w:lang w:val="en-US" w:eastAsia="zh-CN"/>
        </w:rPr>
        <w:t>姜</w:t>
      </w:r>
      <w:r>
        <w:rPr>
          <w:rFonts w:hint="eastAsia" w:hAnsi="黑体"/>
          <w:highlight w:val="none"/>
        </w:rPr>
        <w:t>中的最大残留限量为0.</w:t>
      </w:r>
      <w:r>
        <w:rPr>
          <w:rFonts w:hint="eastAsia" w:hAnsi="黑体"/>
          <w:highlight w:val="none"/>
          <w:lang w:val="en-US" w:eastAsia="zh-CN"/>
        </w:rPr>
        <w:t>1</w:t>
      </w:r>
      <w:r>
        <w:rPr>
          <w:rFonts w:hint="eastAsia" w:hAnsi="黑体"/>
          <w:highlight w:val="none"/>
        </w:rPr>
        <w:t>mg/kg</w:t>
      </w:r>
      <w:r>
        <w:rPr>
          <w:rFonts w:hint="eastAsia" w:hAnsi="黑体"/>
          <w:highlight w:val="none"/>
          <w:lang w:eastAsia="zh-CN"/>
        </w:rPr>
        <w:t>，</w:t>
      </w:r>
      <w:r>
        <w:rPr>
          <w:rFonts w:hint="eastAsia" w:hAnsi="黑体"/>
          <w:highlight w:val="none"/>
          <w:lang w:val="en-US" w:eastAsia="zh-CN"/>
        </w:rPr>
        <w:t>在韭菜</w:t>
      </w:r>
      <w:r>
        <w:rPr>
          <w:rFonts w:hint="eastAsia" w:hAnsi="黑体"/>
          <w:highlight w:val="none"/>
        </w:rPr>
        <w:t>中的最大残留限量为0.</w:t>
      </w:r>
      <w:r>
        <w:rPr>
          <w:rFonts w:hint="eastAsia" w:hAnsi="黑体"/>
          <w:highlight w:val="none"/>
          <w:lang w:val="en-US" w:eastAsia="zh-CN"/>
        </w:rPr>
        <w:t>05</w:t>
      </w:r>
      <w:r>
        <w:rPr>
          <w:rFonts w:hint="eastAsia" w:hAnsi="黑体"/>
          <w:highlight w:val="none"/>
        </w:rPr>
        <w:t>mg/kg。</w:t>
      </w:r>
    </w:p>
    <w:p w14:paraId="60993D50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Arial" w:hAnsi="Arial" w:cs="Arial"/>
          <w:color w:val="191919"/>
          <w:highlight w:val="none"/>
          <w:shd w:val="clear" w:color="auto" w:fill="FFFFFF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批次韭菜</w:t>
      </w:r>
      <w:r>
        <w:rPr>
          <w:rFonts w:hint="eastAsia" w:ascii="Times New Roman"/>
          <w:highlight w:val="none"/>
          <w:lang w:val="en-US" w:eastAsia="zh-CN"/>
        </w:rPr>
        <w:t>,4批次姜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</w:rPr>
        <w:t>镉（Cd）超标。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镉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超标可能由于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种植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过程中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使用过量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农药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或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忽视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安全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间隔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期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而导致。</w:t>
      </w:r>
    </w:p>
    <w:sectPr>
      <w:footerReference r:id="rId3" w:type="default"/>
      <w:pgSz w:w="11906" w:h="16838"/>
      <w:pgMar w:top="1418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 w14:paraId="038BB39F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FDECD1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RiMDE2MDc0MWJmNDUzNTg5MzIzOTRhMjAwODg5ZGQifQ=="/>
  </w:docVars>
  <w:rsids>
    <w:rsidRoot w:val="0096133C"/>
    <w:rsid w:val="00000ACF"/>
    <w:rsid w:val="0001304C"/>
    <w:rsid w:val="00023A56"/>
    <w:rsid w:val="00025132"/>
    <w:rsid w:val="00045BD3"/>
    <w:rsid w:val="000469B1"/>
    <w:rsid w:val="000469E4"/>
    <w:rsid w:val="000471A1"/>
    <w:rsid w:val="00050BCE"/>
    <w:rsid w:val="00052C54"/>
    <w:rsid w:val="00062450"/>
    <w:rsid w:val="00067FE0"/>
    <w:rsid w:val="000A6D86"/>
    <w:rsid w:val="000B0679"/>
    <w:rsid w:val="000B59B3"/>
    <w:rsid w:val="000C3D8D"/>
    <w:rsid w:val="000C6447"/>
    <w:rsid w:val="000D6F70"/>
    <w:rsid w:val="000E5043"/>
    <w:rsid w:val="000E5593"/>
    <w:rsid w:val="000E7E33"/>
    <w:rsid w:val="000F1739"/>
    <w:rsid w:val="000F6BC0"/>
    <w:rsid w:val="0010028C"/>
    <w:rsid w:val="00106BE5"/>
    <w:rsid w:val="00124552"/>
    <w:rsid w:val="00126F60"/>
    <w:rsid w:val="00131279"/>
    <w:rsid w:val="00135202"/>
    <w:rsid w:val="0013647E"/>
    <w:rsid w:val="00140A01"/>
    <w:rsid w:val="00152F66"/>
    <w:rsid w:val="00153FD6"/>
    <w:rsid w:val="00156B63"/>
    <w:rsid w:val="00167EDD"/>
    <w:rsid w:val="001775EB"/>
    <w:rsid w:val="00184A22"/>
    <w:rsid w:val="00186D0A"/>
    <w:rsid w:val="00186D8B"/>
    <w:rsid w:val="00187BF0"/>
    <w:rsid w:val="0019241C"/>
    <w:rsid w:val="00192F35"/>
    <w:rsid w:val="0019320E"/>
    <w:rsid w:val="001944A6"/>
    <w:rsid w:val="001A62ED"/>
    <w:rsid w:val="001A79D4"/>
    <w:rsid w:val="001B23FE"/>
    <w:rsid w:val="001B4554"/>
    <w:rsid w:val="001C2AD6"/>
    <w:rsid w:val="001D2059"/>
    <w:rsid w:val="001D2988"/>
    <w:rsid w:val="001E41AE"/>
    <w:rsid w:val="001F4671"/>
    <w:rsid w:val="001F57D2"/>
    <w:rsid w:val="00201290"/>
    <w:rsid w:val="00206A2D"/>
    <w:rsid w:val="00211E4C"/>
    <w:rsid w:val="00213EC3"/>
    <w:rsid w:val="00216ADD"/>
    <w:rsid w:val="002204A3"/>
    <w:rsid w:val="00226322"/>
    <w:rsid w:val="002402D7"/>
    <w:rsid w:val="00244965"/>
    <w:rsid w:val="0024757B"/>
    <w:rsid w:val="0025140A"/>
    <w:rsid w:val="00251DD5"/>
    <w:rsid w:val="00253D24"/>
    <w:rsid w:val="00253EB6"/>
    <w:rsid w:val="0025700E"/>
    <w:rsid w:val="00267735"/>
    <w:rsid w:val="00283D4D"/>
    <w:rsid w:val="00287BDB"/>
    <w:rsid w:val="00292D85"/>
    <w:rsid w:val="00294C79"/>
    <w:rsid w:val="00295353"/>
    <w:rsid w:val="00295D01"/>
    <w:rsid w:val="002B261E"/>
    <w:rsid w:val="002B2CDB"/>
    <w:rsid w:val="002B7473"/>
    <w:rsid w:val="002C49D5"/>
    <w:rsid w:val="002C4D13"/>
    <w:rsid w:val="002C4DBB"/>
    <w:rsid w:val="002C511C"/>
    <w:rsid w:val="002D04C5"/>
    <w:rsid w:val="002D0ED5"/>
    <w:rsid w:val="002D2A5B"/>
    <w:rsid w:val="002D30D8"/>
    <w:rsid w:val="002D5A3B"/>
    <w:rsid w:val="002E1D1A"/>
    <w:rsid w:val="002E4E45"/>
    <w:rsid w:val="002F2119"/>
    <w:rsid w:val="002F39FE"/>
    <w:rsid w:val="002F4A2F"/>
    <w:rsid w:val="002F6502"/>
    <w:rsid w:val="00300A4E"/>
    <w:rsid w:val="003017E1"/>
    <w:rsid w:val="00303449"/>
    <w:rsid w:val="00310FBC"/>
    <w:rsid w:val="00311097"/>
    <w:rsid w:val="00312117"/>
    <w:rsid w:val="00313AEE"/>
    <w:rsid w:val="003216C5"/>
    <w:rsid w:val="0033118D"/>
    <w:rsid w:val="0033212A"/>
    <w:rsid w:val="00334813"/>
    <w:rsid w:val="003421B6"/>
    <w:rsid w:val="0034293F"/>
    <w:rsid w:val="00355161"/>
    <w:rsid w:val="00357E67"/>
    <w:rsid w:val="0036336D"/>
    <w:rsid w:val="0036412C"/>
    <w:rsid w:val="00374CE4"/>
    <w:rsid w:val="00381C83"/>
    <w:rsid w:val="003A0BD7"/>
    <w:rsid w:val="003A26C5"/>
    <w:rsid w:val="003A579D"/>
    <w:rsid w:val="003B261B"/>
    <w:rsid w:val="003C3275"/>
    <w:rsid w:val="003D0C37"/>
    <w:rsid w:val="003D0FBB"/>
    <w:rsid w:val="003D1A8F"/>
    <w:rsid w:val="003D4D9E"/>
    <w:rsid w:val="003D4E61"/>
    <w:rsid w:val="003D517F"/>
    <w:rsid w:val="003E347A"/>
    <w:rsid w:val="003F2F21"/>
    <w:rsid w:val="00405157"/>
    <w:rsid w:val="004057BE"/>
    <w:rsid w:val="004160F7"/>
    <w:rsid w:val="004243A4"/>
    <w:rsid w:val="00425EBA"/>
    <w:rsid w:val="00427E1C"/>
    <w:rsid w:val="00427EE3"/>
    <w:rsid w:val="00440A98"/>
    <w:rsid w:val="00441A08"/>
    <w:rsid w:val="00453913"/>
    <w:rsid w:val="0045392B"/>
    <w:rsid w:val="00461A46"/>
    <w:rsid w:val="004707A3"/>
    <w:rsid w:val="00472F13"/>
    <w:rsid w:val="004734C7"/>
    <w:rsid w:val="00473C59"/>
    <w:rsid w:val="00486498"/>
    <w:rsid w:val="00494C58"/>
    <w:rsid w:val="004A2FA7"/>
    <w:rsid w:val="004A73BB"/>
    <w:rsid w:val="004B0C79"/>
    <w:rsid w:val="004C1592"/>
    <w:rsid w:val="004C6619"/>
    <w:rsid w:val="004D0EFA"/>
    <w:rsid w:val="004D40F5"/>
    <w:rsid w:val="004D5D6D"/>
    <w:rsid w:val="004E7143"/>
    <w:rsid w:val="0050640B"/>
    <w:rsid w:val="00506ED4"/>
    <w:rsid w:val="005115B9"/>
    <w:rsid w:val="00511B10"/>
    <w:rsid w:val="0052374F"/>
    <w:rsid w:val="00526CD5"/>
    <w:rsid w:val="00527BA1"/>
    <w:rsid w:val="00530A41"/>
    <w:rsid w:val="0053260D"/>
    <w:rsid w:val="00561A6F"/>
    <w:rsid w:val="00562611"/>
    <w:rsid w:val="0056559B"/>
    <w:rsid w:val="00571284"/>
    <w:rsid w:val="00574EA6"/>
    <w:rsid w:val="00574FF1"/>
    <w:rsid w:val="00582FC3"/>
    <w:rsid w:val="00596A46"/>
    <w:rsid w:val="005A0096"/>
    <w:rsid w:val="005A5309"/>
    <w:rsid w:val="005A78E2"/>
    <w:rsid w:val="005B36AD"/>
    <w:rsid w:val="005B4F48"/>
    <w:rsid w:val="005B7F57"/>
    <w:rsid w:val="005C4C57"/>
    <w:rsid w:val="005D0458"/>
    <w:rsid w:val="005D3D6B"/>
    <w:rsid w:val="005D68C8"/>
    <w:rsid w:val="005E0EFC"/>
    <w:rsid w:val="005F11AA"/>
    <w:rsid w:val="005F291C"/>
    <w:rsid w:val="005F2C9E"/>
    <w:rsid w:val="005F5280"/>
    <w:rsid w:val="005F792F"/>
    <w:rsid w:val="00602D99"/>
    <w:rsid w:val="00612E67"/>
    <w:rsid w:val="00621DE9"/>
    <w:rsid w:val="00622DFA"/>
    <w:rsid w:val="00624AE9"/>
    <w:rsid w:val="0064522A"/>
    <w:rsid w:val="00647314"/>
    <w:rsid w:val="00655AC9"/>
    <w:rsid w:val="0065665C"/>
    <w:rsid w:val="006568FB"/>
    <w:rsid w:val="00657F7F"/>
    <w:rsid w:val="00664228"/>
    <w:rsid w:val="006645A8"/>
    <w:rsid w:val="00664C1C"/>
    <w:rsid w:val="00664EF9"/>
    <w:rsid w:val="00666E71"/>
    <w:rsid w:val="00673B5D"/>
    <w:rsid w:val="006817D3"/>
    <w:rsid w:val="00681B01"/>
    <w:rsid w:val="00687DC8"/>
    <w:rsid w:val="006911AA"/>
    <w:rsid w:val="00691C23"/>
    <w:rsid w:val="0069379B"/>
    <w:rsid w:val="00694A20"/>
    <w:rsid w:val="006961E8"/>
    <w:rsid w:val="006A1066"/>
    <w:rsid w:val="006A708B"/>
    <w:rsid w:val="006A7872"/>
    <w:rsid w:val="006C139F"/>
    <w:rsid w:val="006D392E"/>
    <w:rsid w:val="006E6803"/>
    <w:rsid w:val="006F4980"/>
    <w:rsid w:val="007030D8"/>
    <w:rsid w:val="007045D5"/>
    <w:rsid w:val="0071636B"/>
    <w:rsid w:val="00716DCA"/>
    <w:rsid w:val="00722DA2"/>
    <w:rsid w:val="0073062A"/>
    <w:rsid w:val="007348FE"/>
    <w:rsid w:val="00745FF7"/>
    <w:rsid w:val="00751C60"/>
    <w:rsid w:val="0075253F"/>
    <w:rsid w:val="00756EBA"/>
    <w:rsid w:val="00761B8F"/>
    <w:rsid w:val="00765186"/>
    <w:rsid w:val="00774B79"/>
    <w:rsid w:val="00780F3B"/>
    <w:rsid w:val="0078330B"/>
    <w:rsid w:val="007873BD"/>
    <w:rsid w:val="00787D35"/>
    <w:rsid w:val="0079072C"/>
    <w:rsid w:val="007A3BF3"/>
    <w:rsid w:val="007A4C3A"/>
    <w:rsid w:val="007A71F5"/>
    <w:rsid w:val="007A7366"/>
    <w:rsid w:val="007B1D0F"/>
    <w:rsid w:val="007B3901"/>
    <w:rsid w:val="007B698C"/>
    <w:rsid w:val="007C2E6E"/>
    <w:rsid w:val="007C7108"/>
    <w:rsid w:val="007D1F3A"/>
    <w:rsid w:val="007D2FAE"/>
    <w:rsid w:val="007F05B6"/>
    <w:rsid w:val="007F793B"/>
    <w:rsid w:val="00800E82"/>
    <w:rsid w:val="008034F2"/>
    <w:rsid w:val="008109EF"/>
    <w:rsid w:val="0081292E"/>
    <w:rsid w:val="0081323A"/>
    <w:rsid w:val="00817941"/>
    <w:rsid w:val="008354B6"/>
    <w:rsid w:val="00837B3E"/>
    <w:rsid w:val="00841106"/>
    <w:rsid w:val="008414A1"/>
    <w:rsid w:val="008414D5"/>
    <w:rsid w:val="00842217"/>
    <w:rsid w:val="008455FC"/>
    <w:rsid w:val="00852427"/>
    <w:rsid w:val="0085478D"/>
    <w:rsid w:val="008567B9"/>
    <w:rsid w:val="00863B78"/>
    <w:rsid w:val="00875033"/>
    <w:rsid w:val="00880D47"/>
    <w:rsid w:val="008900CC"/>
    <w:rsid w:val="00893062"/>
    <w:rsid w:val="008946E9"/>
    <w:rsid w:val="008A5C14"/>
    <w:rsid w:val="008C229B"/>
    <w:rsid w:val="008C33DC"/>
    <w:rsid w:val="008C6C13"/>
    <w:rsid w:val="008D77D2"/>
    <w:rsid w:val="008D7D09"/>
    <w:rsid w:val="008E2082"/>
    <w:rsid w:val="008E7672"/>
    <w:rsid w:val="008F261A"/>
    <w:rsid w:val="008F34E5"/>
    <w:rsid w:val="0090061F"/>
    <w:rsid w:val="00906156"/>
    <w:rsid w:val="00911882"/>
    <w:rsid w:val="0092028B"/>
    <w:rsid w:val="00923917"/>
    <w:rsid w:val="009305BB"/>
    <w:rsid w:val="00945911"/>
    <w:rsid w:val="00953293"/>
    <w:rsid w:val="00955C28"/>
    <w:rsid w:val="0096133C"/>
    <w:rsid w:val="009629B8"/>
    <w:rsid w:val="009671C0"/>
    <w:rsid w:val="00970A12"/>
    <w:rsid w:val="00970C27"/>
    <w:rsid w:val="00970C2E"/>
    <w:rsid w:val="009900A9"/>
    <w:rsid w:val="0099555D"/>
    <w:rsid w:val="00995ADD"/>
    <w:rsid w:val="009A1CAC"/>
    <w:rsid w:val="009B0D0A"/>
    <w:rsid w:val="009B1364"/>
    <w:rsid w:val="009C3040"/>
    <w:rsid w:val="009C4247"/>
    <w:rsid w:val="009D0537"/>
    <w:rsid w:val="009D4D89"/>
    <w:rsid w:val="009E26F4"/>
    <w:rsid w:val="009E38BF"/>
    <w:rsid w:val="009E6AFE"/>
    <w:rsid w:val="009F1EE6"/>
    <w:rsid w:val="009F41A9"/>
    <w:rsid w:val="00A03F78"/>
    <w:rsid w:val="00A065C3"/>
    <w:rsid w:val="00A148A5"/>
    <w:rsid w:val="00A21243"/>
    <w:rsid w:val="00A22A19"/>
    <w:rsid w:val="00A245B5"/>
    <w:rsid w:val="00A40A32"/>
    <w:rsid w:val="00A46F96"/>
    <w:rsid w:val="00A551D8"/>
    <w:rsid w:val="00A563DF"/>
    <w:rsid w:val="00A57C2E"/>
    <w:rsid w:val="00A61E8B"/>
    <w:rsid w:val="00A652CD"/>
    <w:rsid w:val="00A65EDF"/>
    <w:rsid w:val="00A732B5"/>
    <w:rsid w:val="00A760C2"/>
    <w:rsid w:val="00A8183D"/>
    <w:rsid w:val="00A8774E"/>
    <w:rsid w:val="00A928B9"/>
    <w:rsid w:val="00AA1123"/>
    <w:rsid w:val="00AA2DD5"/>
    <w:rsid w:val="00AA4F79"/>
    <w:rsid w:val="00AA7916"/>
    <w:rsid w:val="00AB4264"/>
    <w:rsid w:val="00AB46B0"/>
    <w:rsid w:val="00AB79EF"/>
    <w:rsid w:val="00AC265A"/>
    <w:rsid w:val="00AC3328"/>
    <w:rsid w:val="00AC75B9"/>
    <w:rsid w:val="00AD0F64"/>
    <w:rsid w:val="00AD1D1F"/>
    <w:rsid w:val="00AE0825"/>
    <w:rsid w:val="00AE361B"/>
    <w:rsid w:val="00AE5518"/>
    <w:rsid w:val="00AF6915"/>
    <w:rsid w:val="00AF6A5B"/>
    <w:rsid w:val="00B02FF1"/>
    <w:rsid w:val="00B07EBE"/>
    <w:rsid w:val="00B10AB5"/>
    <w:rsid w:val="00B14CB8"/>
    <w:rsid w:val="00B24BA0"/>
    <w:rsid w:val="00B3076D"/>
    <w:rsid w:val="00B31723"/>
    <w:rsid w:val="00B322D2"/>
    <w:rsid w:val="00B3287F"/>
    <w:rsid w:val="00B368A9"/>
    <w:rsid w:val="00B37AD1"/>
    <w:rsid w:val="00B51667"/>
    <w:rsid w:val="00B53572"/>
    <w:rsid w:val="00B60019"/>
    <w:rsid w:val="00B64021"/>
    <w:rsid w:val="00B656FA"/>
    <w:rsid w:val="00B71BD9"/>
    <w:rsid w:val="00B71C0E"/>
    <w:rsid w:val="00B76C81"/>
    <w:rsid w:val="00B77BC6"/>
    <w:rsid w:val="00B82379"/>
    <w:rsid w:val="00B85709"/>
    <w:rsid w:val="00B940A2"/>
    <w:rsid w:val="00B94BD7"/>
    <w:rsid w:val="00BA4EB6"/>
    <w:rsid w:val="00BA53CE"/>
    <w:rsid w:val="00BB350F"/>
    <w:rsid w:val="00BB7EBD"/>
    <w:rsid w:val="00BC3653"/>
    <w:rsid w:val="00BC5FFA"/>
    <w:rsid w:val="00BD1F31"/>
    <w:rsid w:val="00BF71BF"/>
    <w:rsid w:val="00C00962"/>
    <w:rsid w:val="00C0287B"/>
    <w:rsid w:val="00C148B3"/>
    <w:rsid w:val="00C150FB"/>
    <w:rsid w:val="00C255D0"/>
    <w:rsid w:val="00C25E17"/>
    <w:rsid w:val="00C264C0"/>
    <w:rsid w:val="00C271EB"/>
    <w:rsid w:val="00C27FB5"/>
    <w:rsid w:val="00C300C3"/>
    <w:rsid w:val="00C3106E"/>
    <w:rsid w:val="00C3173B"/>
    <w:rsid w:val="00C35801"/>
    <w:rsid w:val="00C42DED"/>
    <w:rsid w:val="00C45294"/>
    <w:rsid w:val="00C456DD"/>
    <w:rsid w:val="00C45E81"/>
    <w:rsid w:val="00C63155"/>
    <w:rsid w:val="00C636C9"/>
    <w:rsid w:val="00C70D05"/>
    <w:rsid w:val="00C73BE3"/>
    <w:rsid w:val="00C74283"/>
    <w:rsid w:val="00C820BB"/>
    <w:rsid w:val="00C83615"/>
    <w:rsid w:val="00C84102"/>
    <w:rsid w:val="00C8518A"/>
    <w:rsid w:val="00C93402"/>
    <w:rsid w:val="00CD2A18"/>
    <w:rsid w:val="00CD3F34"/>
    <w:rsid w:val="00CD5235"/>
    <w:rsid w:val="00CE02A2"/>
    <w:rsid w:val="00CE0CFA"/>
    <w:rsid w:val="00CE415A"/>
    <w:rsid w:val="00D06B3A"/>
    <w:rsid w:val="00D1037E"/>
    <w:rsid w:val="00D11B07"/>
    <w:rsid w:val="00D13537"/>
    <w:rsid w:val="00D13F75"/>
    <w:rsid w:val="00D23D80"/>
    <w:rsid w:val="00D243AA"/>
    <w:rsid w:val="00D34EC6"/>
    <w:rsid w:val="00D460ED"/>
    <w:rsid w:val="00D51F21"/>
    <w:rsid w:val="00D551E2"/>
    <w:rsid w:val="00D604AF"/>
    <w:rsid w:val="00D64FCB"/>
    <w:rsid w:val="00D6639F"/>
    <w:rsid w:val="00D7281C"/>
    <w:rsid w:val="00D730FD"/>
    <w:rsid w:val="00D74B3C"/>
    <w:rsid w:val="00D7586E"/>
    <w:rsid w:val="00D7733F"/>
    <w:rsid w:val="00D819AE"/>
    <w:rsid w:val="00D85206"/>
    <w:rsid w:val="00D85748"/>
    <w:rsid w:val="00D8627C"/>
    <w:rsid w:val="00D91CDF"/>
    <w:rsid w:val="00D96363"/>
    <w:rsid w:val="00DA1172"/>
    <w:rsid w:val="00DA49EA"/>
    <w:rsid w:val="00DC3B72"/>
    <w:rsid w:val="00DC404E"/>
    <w:rsid w:val="00DD2720"/>
    <w:rsid w:val="00DD42BD"/>
    <w:rsid w:val="00DE1415"/>
    <w:rsid w:val="00DE2A18"/>
    <w:rsid w:val="00DE5DA0"/>
    <w:rsid w:val="00DE5FB4"/>
    <w:rsid w:val="00DF3905"/>
    <w:rsid w:val="00E02B6B"/>
    <w:rsid w:val="00E0512E"/>
    <w:rsid w:val="00E110A5"/>
    <w:rsid w:val="00E15212"/>
    <w:rsid w:val="00E16B3E"/>
    <w:rsid w:val="00E215B9"/>
    <w:rsid w:val="00E37D11"/>
    <w:rsid w:val="00E4129F"/>
    <w:rsid w:val="00E54BA5"/>
    <w:rsid w:val="00E57EDA"/>
    <w:rsid w:val="00E60717"/>
    <w:rsid w:val="00E60982"/>
    <w:rsid w:val="00E65837"/>
    <w:rsid w:val="00E6648D"/>
    <w:rsid w:val="00E705DC"/>
    <w:rsid w:val="00E7167D"/>
    <w:rsid w:val="00E85305"/>
    <w:rsid w:val="00E90926"/>
    <w:rsid w:val="00E9443B"/>
    <w:rsid w:val="00E94FA5"/>
    <w:rsid w:val="00EA13E7"/>
    <w:rsid w:val="00EA1E26"/>
    <w:rsid w:val="00EA2987"/>
    <w:rsid w:val="00EA5E46"/>
    <w:rsid w:val="00EA7847"/>
    <w:rsid w:val="00EB132F"/>
    <w:rsid w:val="00EB2AA0"/>
    <w:rsid w:val="00EB749C"/>
    <w:rsid w:val="00EC6E9A"/>
    <w:rsid w:val="00ED1B42"/>
    <w:rsid w:val="00ED29F9"/>
    <w:rsid w:val="00ED4C75"/>
    <w:rsid w:val="00EE19EF"/>
    <w:rsid w:val="00EE623E"/>
    <w:rsid w:val="00EF2A0F"/>
    <w:rsid w:val="00EF65A8"/>
    <w:rsid w:val="00F049AC"/>
    <w:rsid w:val="00F113BF"/>
    <w:rsid w:val="00F13ABB"/>
    <w:rsid w:val="00F13DFC"/>
    <w:rsid w:val="00F14D2D"/>
    <w:rsid w:val="00F16C4C"/>
    <w:rsid w:val="00F20811"/>
    <w:rsid w:val="00F210E6"/>
    <w:rsid w:val="00F21E0A"/>
    <w:rsid w:val="00F22825"/>
    <w:rsid w:val="00F23D61"/>
    <w:rsid w:val="00F2433D"/>
    <w:rsid w:val="00F31F23"/>
    <w:rsid w:val="00F355F4"/>
    <w:rsid w:val="00F36D80"/>
    <w:rsid w:val="00F42D8F"/>
    <w:rsid w:val="00F4607F"/>
    <w:rsid w:val="00F47626"/>
    <w:rsid w:val="00F57794"/>
    <w:rsid w:val="00F607B6"/>
    <w:rsid w:val="00F6097C"/>
    <w:rsid w:val="00F63DBE"/>
    <w:rsid w:val="00F76954"/>
    <w:rsid w:val="00F77DF2"/>
    <w:rsid w:val="00F819B8"/>
    <w:rsid w:val="00F86C4F"/>
    <w:rsid w:val="00F93B51"/>
    <w:rsid w:val="00F94CCC"/>
    <w:rsid w:val="00F957CE"/>
    <w:rsid w:val="00F97F89"/>
    <w:rsid w:val="00FB19D2"/>
    <w:rsid w:val="00FC2327"/>
    <w:rsid w:val="00FC3037"/>
    <w:rsid w:val="00FC316E"/>
    <w:rsid w:val="00FC5EE8"/>
    <w:rsid w:val="00FD5324"/>
    <w:rsid w:val="00FD62EC"/>
    <w:rsid w:val="00FE27B7"/>
    <w:rsid w:val="00FE29BE"/>
    <w:rsid w:val="00FE2AE1"/>
    <w:rsid w:val="00FE5458"/>
    <w:rsid w:val="00FE6795"/>
    <w:rsid w:val="01330BCF"/>
    <w:rsid w:val="01583409"/>
    <w:rsid w:val="01A31475"/>
    <w:rsid w:val="01AA7D1B"/>
    <w:rsid w:val="02050309"/>
    <w:rsid w:val="025F1DD2"/>
    <w:rsid w:val="02665C60"/>
    <w:rsid w:val="03A64228"/>
    <w:rsid w:val="04811FE9"/>
    <w:rsid w:val="04D1736D"/>
    <w:rsid w:val="05A83105"/>
    <w:rsid w:val="060D0713"/>
    <w:rsid w:val="071B502C"/>
    <w:rsid w:val="079D70A7"/>
    <w:rsid w:val="07C9494C"/>
    <w:rsid w:val="07F85594"/>
    <w:rsid w:val="08471E20"/>
    <w:rsid w:val="09FB194E"/>
    <w:rsid w:val="0A5511B5"/>
    <w:rsid w:val="0AF91CBE"/>
    <w:rsid w:val="0C29257C"/>
    <w:rsid w:val="0C3A016B"/>
    <w:rsid w:val="0CE260BC"/>
    <w:rsid w:val="0D2C55B8"/>
    <w:rsid w:val="0D380677"/>
    <w:rsid w:val="0D6D1422"/>
    <w:rsid w:val="0EF40D5A"/>
    <w:rsid w:val="0EF600FC"/>
    <w:rsid w:val="0FB4693D"/>
    <w:rsid w:val="0FC05C0E"/>
    <w:rsid w:val="110D523F"/>
    <w:rsid w:val="11803FE3"/>
    <w:rsid w:val="13217BBE"/>
    <w:rsid w:val="139B23FB"/>
    <w:rsid w:val="140908D1"/>
    <w:rsid w:val="145C002F"/>
    <w:rsid w:val="14820806"/>
    <w:rsid w:val="153C5486"/>
    <w:rsid w:val="156D6C3E"/>
    <w:rsid w:val="157D4E6D"/>
    <w:rsid w:val="15C66F7E"/>
    <w:rsid w:val="1665388A"/>
    <w:rsid w:val="16907992"/>
    <w:rsid w:val="16CC691F"/>
    <w:rsid w:val="16F166EF"/>
    <w:rsid w:val="17322A40"/>
    <w:rsid w:val="1816256E"/>
    <w:rsid w:val="185354DF"/>
    <w:rsid w:val="187C1786"/>
    <w:rsid w:val="19481F81"/>
    <w:rsid w:val="1A0758B3"/>
    <w:rsid w:val="1A3206EA"/>
    <w:rsid w:val="1AB10DF9"/>
    <w:rsid w:val="1AE527E8"/>
    <w:rsid w:val="1AEC063C"/>
    <w:rsid w:val="1AFE1C43"/>
    <w:rsid w:val="1BDA3BAB"/>
    <w:rsid w:val="1C0F0A4F"/>
    <w:rsid w:val="1C3A116B"/>
    <w:rsid w:val="1C9B7729"/>
    <w:rsid w:val="1DC675AB"/>
    <w:rsid w:val="1DE0470B"/>
    <w:rsid w:val="1E0345E3"/>
    <w:rsid w:val="1E0F2F88"/>
    <w:rsid w:val="1F10520A"/>
    <w:rsid w:val="1F461181"/>
    <w:rsid w:val="1F5406AF"/>
    <w:rsid w:val="20434B05"/>
    <w:rsid w:val="215441BB"/>
    <w:rsid w:val="22804455"/>
    <w:rsid w:val="23D6464A"/>
    <w:rsid w:val="23EA427B"/>
    <w:rsid w:val="24513157"/>
    <w:rsid w:val="24545B99"/>
    <w:rsid w:val="24F459A5"/>
    <w:rsid w:val="25D93DCD"/>
    <w:rsid w:val="261B7905"/>
    <w:rsid w:val="26411D71"/>
    <w:rsid w:val="26DA3D9D"/>
    <w:rsid w:val="273336B6"/>
    <w:rsid w:val="28303CF1"/>
    <w:rsid w:val="29D55086"/>
    <w:rsid w:val="29E20AEA"/>
    <w:rsid w:val="2A4C2E6E"/>
    <w:rsid w:val="2B277B63"/>
    <w:rsid w:val="2C646EEF"/>
    <w:rsid w:val="2CB573F1"/>
    <w:rsid w:val="2D84231F"/>
    <w:rsid w:val="2E4622A1"/>
    <w:rsid w:val="2EED3D6C"/>
    <w:rsid w:val="2F9E5968"/>
    <w:rsid w:val="31102BF4"/>
    <w:rsid w:val="31EC3320"/>
    <w:rsid w:val="32E77D9B"/>
    <w:rsid w:val="34161ADD"/>
    <w:rsid w:val="343F3BB6"/>
    <w:rsid w:val="3459095E"/>
    <w:rsid w:val="34F12F90"/>
    <w:rsid w:val="35D661B7"/>
    <w:rsid w:val="37036ED6"/>
    <w:rsid w:val="373D0691"/>
    <w:rsid w:val="386E3CE1"/>
    <w:rsid w:val="3A4A0CD0"/>
    <w:rsid w:val="3C10662E"/>
    <w:rsid w:val="3C1814F4"/>
    <w:rsid w:val="3C9D47AE"/>
    <w:rsid w:val="3CDD6481"/>
    <w:rsid w:val="3E3E1B74"/>
    <w:rsid w:val="3E5D5A31"/>
    <w:rsid w:val="3F061B58"/>
    <w:rsid w:val="3F94181E"/>
    <w:rsid w:val="420936C7"/>
    <w:rsid w:val="42180B39"/>
    <w:rsid w:val="422F6EA6"/>
    <w:rsid w:val="42D83145"/>
    <w:rsid w:val="43164218"/>
    <w:rsid w:val="43167039"/>
    <w:rsid w:val="434E3083"/>
    <w:rsid w:val="441476A7"/>
    <w:rsid w:val="44F93EC7"/>
    <w:rsid w:val="452572E5"/>
    <w:rsid w:val="45555FC7"/>
    <w:rsid w:val="464245FC"/>
    <w:rsid w:val="467C12B0"/>
    <w:rsid w:val="468F727E"/>
    <w:rsid w:val="46E356D8"/>
    <w:rsid w:val="47F72214"/>
    <w:rsid w:val="48255976"/>
    <w:rsid w:val="484819B2"/>
    <w:rsid w:val="49717D67"/>
    <w:rsid w:val="49926875"/>
    <w:rsid w:val="499F7236"/>
    <w:rsid w:val="49C34614"/>
    <w:rsid w:val="4A633B90"/>
    <w:rsid w:val="4ABE596A"/>
    <w:rsid w:val="4B0A7982"/>
    <w:rsid w:val="4B6F0FB6"/>
    <w:rsid w:val="4BBB58FC"/>
    <w:rsid w:val="4CBD3A2C"/>
    <w:rsid w:val="4D017EE9"/>
    <w:rsid w:val="4D2676C6"/>
    <w:rsid w:val="4EEA4880"/>
    <w:rsid w:val="4EFC63A0"/>
    <w:rsid w:val="4F141BFC"/>
    <w:rsid w:val="4FA5149A"/>
    <w:rsid w:val="4FF14604"/>
    <w:rsid w:val="503D0049"/>
    <w:rsid w:val="50795336"/>
    <w:rsid w:val="5103726B"/>
    <w:rsid w:val="51850890"/>
    <w:rsid w:val="519835D9"/>
    <w:rsid w:val="527427EC"/>
    <w:rsid w:val="52BD5936"/>
    <w:rsid w:val="52DD3116"/>
    <w:rsid w:val="539B7B56"/>
    <w:rsid w:val="53B7467C"/>
    <w:rsid w:val="544669FD"/>
    <w:rsid w:val="54B83B2B"/>
    <w:rsid w:val="55CA5055"/>
    <w:rsid w:val="55FD758F"/>
    <w:rsid w:val="562436B8"/>
    <w:rsid w:val="568C54A1"/>
    <w:rsid w:val="571446AC"/>
    <w:rsid w:val="571C116D"/>
    <w:rsid w:val="576C7C19"/>
    <w:rsid w:val="5793209C"/>
    <w:rsid w:val="57A010ED"/>
    <w:rsid w:val="58964CA3"/>
    <w:rsid w:val="590066E4"/>
    <w:rsid w:val="597177C9"/>
    <w:rsid w:val="59DC7588"/>
    <w:rsid w:val="5A3436F3"/>
    <w:rsid w:val="5AE14D89"/>
    <w:rsid w:val="5B70794E"/>
    <w:rsid w:val="5BCF1086"/>
    <w:rsid w:val="5BFF3F86"/>
    <w:rsid w:val="5C887542"/>
    <w:rsid w:val="5D1B534F"/>
    <w:rsid w:val="5D4E1EA4"/>
    <w:rsid w:val="5DA61DC0"/>
    <w:rsid w:val="5F011DE7"/>
    <w:rsid w:val="5FF768EF"/>
    <w:rsid w:val="6082054A"/>
    <w:rsid w:val="62E551E2"/>
    <w:rsid w:val="63125F32"/>
    <w:rsid w:val="635C5093"/>
    <w:rsid w:val="6472552C"/>
    <w:rsid w:val="663F505A"/>
    <w:rsid w:val="66A17201"/>
    <w:rsid w:val="67486B56"/>
    <w:rsid w:val="6772249D"/>
    <w:rsid w:val="67FD36C9"/>
    <w:rsid w:val="684C1AB9"/>
    <w:rsid w:val="68D979E8"/>
    <w:rsid w:val="6A0D55C1"/>
    <w:rsid w:val="6A473887"/>
    <w:rsid w:val="6A7C062B"/>
    <w:rsid w:val="6A8A03C9"/>
    <w:rsid w:val="6C944351"/>
    <w:rsid w:val="6C96463E"/>
    <w:rsid w:val="6CBC3F1E"/>
    <w:rsid w:val="6D4F6DBD"/>
    <w:rsid w:val="6DAD74CE"/>
    <w:rsid w:val="6E3D03BA"/>
    <w:rsid w:val="6E8E182D"/>
    <w:rsid w:val="6E982C53"/>
    <w:rsid w:val="6F072C54"/>
    <w:rsid w:val="6F6A75EB"/>
    <w:rsid w:val="707149AA"/>
    <w:rsid w:val="71DD0A61"/>
    <w:rsid w:val="734D40B3"/>
    <w:rsid w:val="73846F32"/>
    <w:rsid w:val="738B241F"/>
    <w:rsid w:val="73A570F9"/>
    <w:rsid w:val="74D07EF1"/>
    <w:rsid w:val="758F6A52"/>
    <w:rsid w:val="77831DD0"/>
    <w:rsid w:val="779514CC"/>
    <w:rsid w:val="7927654D"/>
    <w:rsid w:val="79846997"/>
    <w:rsid w:val="79AB6836"/>
    <w:rsid w:val="79E60EC7"/>
    <w:rsid w:val="7A112D6D"/>
    <w:rsid w:val="7AED7215"/>
    <w:rsid w:val="7B1F5CAB"/>
    <w:rsid w:val="7CC06A9D"/>
    <w:rsid w:val="7D2D4F94"/>
    <w:rsid w:val="7DC4490E"/>
    <w:rsid w:val="7DE13CC0"/>
    <w:rsid w:val="7DF62E04"/>
    <w:rsid w:val="7E544BA5"/>
    <w:rsid w:val="7ECD0561"/>
    <w:rsid w:val="7F88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TML Definition"/>
    <w:basedOn w:val="10"/>
    <w:semiHidden/>
    <w:unhideWhenUsed/>
    <w:qFormat/>
    <w:uiPriority w:val="99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正文文本 字符"/>
    <w:basedOn w:val="10"/>
    <w:link w:val="2"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19">
    <w:name w:val="fontstyle01"/>
    <w:basedOn w:val="10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20">
    <w:name w:val="fontstyle2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1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style1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3">
    <w:name w:val="fontstyle3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4">
    <w:name w:val="qk-md-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6579</Words>
  <Characters>7207</Characters>
  <Lines>30</Lines>
  <Paragraphs>8</Paragraphs>
  <TotalTime>15</TotalTime>
  <ScaleCrop>false</ScaleCrop>
  <LinksUpToDate>false</LinksUpToDate>
  <CharactersWithSpaces>7281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2019-09-12T01:11:00Z</dcterms:created>
  <dc:creator>微软用户</dc:creator>
  <cp:lastModifiedBy>掌心</cp:lastModifiedBy>
  <cp:lastPrinted>2017-03-29T07:42:00Z</cp:lastPrinted>
  <dcterms:modified xsi:type="dcterms:W3CDTF">2025-09-08T09:53:56Z</dcterms:modified>
  <cp:revision>358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2C9A87583ADA483F873A8774B93006D3_12</vt:lpwstr>
  </property>
  <property fmtid="{D5CDD505-2E9C-101B-9397-08002B2CF9AE}" pid="4" name="KSOTemplateDocerSaveRecord">
    <vt:lpwstr>eyJoZGlkIjoiMjIwN2FiMjczZjI0MGFkZDEzZTlmNGUzZmIzZDJjOTYiLCJ1c2VySWQiOiI2MjYxMTMwNjUifQ==</vt:lpwstr>
  </property>
</Properties>
</file>