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3831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</w:p>
    <w:p w14:paraId="14455268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不合格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项目的说明</w:t>
      </w:r>
    </w:p>
    <w:p w14:paraId="274B08B5">
      <w:pPr>
        <w:rPr>
          <w:highlight w:val="none"/>
        </w:rPr>
      </w:pPr>
    </w:p>
    <w:p w14:paraId="6D05339A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黄曲霉毒素</w:t>
      </w:r>
      <w:r>
        <w:rPr>
          <w:rFonts w:ascii="黑体" w:hAnsi="黑体" w:eastAsia="黑体"/>
          <w:highlight w:val="none"/>
        </w:rPr>
        <w:t>B</w:t>
      </w:r>
      <w:r>
        <w:rPr>
          <w:rFonts w:ascii="Cambria Math" w:hAnsi="Cambria Math" w:eastAsia="黑体" w:cs="Cambria Math"/>
          <w:highlight w:val="none"/>
        </w:rPr>
        <w:t>₁</w:t>
      </w:r>
    </w:p>
    <w:p w14:paraId="0E2280AE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黄曲霉毒素</w:t>
      </w:r>
      <w:r>
        <w:rPr>
          <w:rFonts w:ascii="Times New Roman"/>
          <w:highlight w:val="none"/>
        </w:rPr>
        <w:t>B</w:t>
      </w:r>
      <w:r>
        <w:rPr>
          <w:rFonts w:ascii="Cambria Math" w:hAnsi="Cambria Math" w:cs="Cambria Math"/>
          <w:highlight w:val="none"/>
        </w:rPr>
        <w:t>₁</w:t>
      </w:r>
      <w:r>
        <w:rPr>
          <w:rFonts w:ascii="Times New Roman"/>
          <w:highlight w:val="none"/>
        </w:rPr>
        <w:t>是一种有害物质</w:t>
      </w:r>
      <w:r>
        <w:rPr>
          <w:rFonts w:hint="eastAsia" w:ascii="Times New Roman"/>
          <w:highlight w:val="none"/>
        </w:rPr>
        <w:t>，</w:t>
      </w:r>
      <w:r>
        <w:rPr>
          <w:rFonts w:ascii="Times New Roman"/>
          <w:highlight w:val="none"/>
        </w:rPr>
        <w:t>它是由黄曲霉菌产生的一种毒素，常常污染谷物、油籽、坚果、干酪、酱油等食品。</w:t>
      </w:r>
      <w:r>
        <w:rPr>
          <w:rFonts w:hint="eastAsia" w:ascii="Times New Roman"/>
          <w:highlight w:val="none"/>
        </w:rPr>
        <w:t>长期食用受到黄曲霉毒素</w:t>
      </w:r>
      <w:r>
        <w:rPr>
          <w:rFonts w:ascii="Times New Roman"/>
          <w:highlight w:val="none"/>
        </w:rPr>
        <w:t>B</w:t>
      </w:r>
      <w:r>
        <w:rPr>
          <w:rFonts w:ascii="Cambria Math" w:hAnsi="Cambria Math" w:cs="Cambria Math"/>
          <w:highlight w:val="none"/>
        </w:rPr>
        <w:t>₁</w:t>
      </w:r>
      <w:r>
        <w:rPr>
          <w:rFonts w:hint="eastAsia" w:ascii="Times New Roman"/>
          <w:highlight w:val="none"/>
        </w:rPr>
        <w:t>污染的食品，会增加患癌症、免疫毒性、肝脏、肾脏等疾病的风险。</w:t>
      </w:r>
      <w:r>
        <w:rPr>
          <w:rFonts w:ascii="MS Mincho" w:hAnsi="MS Mincho" w:cs="MS Mincho"/>
          <w:highlight w:val="none"/>
        </w:rPr>
        <w:t>‌</w:t>
      </w:r>
      <w:r>
        <w:rPr>
          <w:rFonts w:hint="eastAsia" w:ascii="MS Mincho" w:hAnsi="MS Mincho" w:cs="MS Mincho"/>
          <w:highlight w:val="none"/>
        </w:rPr>
        <w:t>《食品安全国家标准 植物油》（</w:t>
      </w:r>
      <w:r>
        <w:rPr>
          <w:rFonts w:ascii="MS Mincho" w:hAnsi="MS Mincho" w:cs="MS Mincho"/>
          <w:highlight w:val="none"/>
        </w:rPr>
        <w:t>GB 2716</w:t>
      </w:r>
      <w:r>
        <w:rPr>
          <w:rFonts w:hint="eastAsia" w:ascii="MS Mincho" w:hAnsi="MS Mincho" w:cs="MS Mincho"/>
          <w:highlight w:val="none"/>
        </w:rPr>
        <w:t>）中规定，花生油中</w:t>
      </w:r>
      <w:bookmarkStart w:id="0" w:name="OLE_LINK2"/>
      <w:r>
        <w:rPr>
          <w:rFonts w:hint="eastAsia" w:ascii="Times New Roman"/>
          <w:highlight w:val="none"/>
        </w:rPr>
        <w:t>黄曲霉毒素</w:t>
      </w:r>
      <w:r>
        <w:rPr>
          <w:rFonts w:ascii="Times New Roman"/>
          <w:highlight w:val="none"/>
        </w:rPr>
        <w:t>B</w:t>
      </w:r>
      <w:r>
        <w:rPr>
          <w:rFonts w:ascii="Cambria Math" w:hAnsi="Cambria Math" w:cs="Cambria Math"/>
          <w:highlight w:val="none"/>
        </w:rPr>
        <w:t>₁</w:t>
      </w:r>
      <w:bookmarkEnd w:id="0"/>
      <w:r>
        <w:rPr>
          <w:rFonts w:hint="eastAsia" w:ascii="MS Mincho" w:hAnsi="MS Mincho" w:cs="MS Mincho"/>
          <w:highlight w:val="none"/>
        </w:rPr>
        <w:t>检测</w:t>
      </w:r>
      <w:r>
        <w:rPr>
          <w:rFonts w:ascii="MS Mincho" w:hAnsi="MS Mincho" w:cs="MS Mincho"/>
          <w:highlight w:val="none"/>
        </w:rPr>
        <w:t>值不得超过20</w:t>
      </w:r>
      <w:r>
        <w:rPr>
          <w:rFonts w:hint="eastAsia" w:ascii="MS Mincho" w:hAnsi="MS Mincho" w:cs="MS Mincho"/>
          <w:highlight w:val="none"/>
        </w:rPr>
        <w:t>µ</w:t>
      </w:r>
      <w:r>
        <w:rPr>
          <w:rFonts w:ascii="MS Mincho" w:hAnsi="MS Mincho" w:cs="MS Mincho"/>
          <w:highlight w:val="none"/>
        </w:rPr>
        <w:t>g/kg</w:t>
      </w:r>
      <w:r>
        <w:rPr>
          <w:rFonts w:hint="eastAsia" w:ascii="MS Mincho" w:hAnsi="MS Mincho" w:cs="MS Mincho"/>
          <w:highlight w:val="none"/>
        </w:rPr>
        <w:t>。</w:t>
      </w:r>
    </w:p>
    <w:p w14:paraId="2A426322">
      <w:pPr>
        <w:pStyle w:val="2"/>
        <w:kinsoku w:val="0"/>
        <w:overflowPunct w:val="0"/>
        <w:spacing w:before="0"/>
        <w:ind w:left="0" w:firstLine="640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</w:t>
      </w:r>
      <w:r>
        <w:rPr>
          <w:rFonts w:ascii="Times New Roman"/>
          <w:highlight w:val="none"/>
        </w:rPr>
        <w:t>食品</w:t>
      </w:r>
      <w:r>
        <w:rPr>
          <w:rFonts w:hint="eastAsia" w:ascii="Times New Roman"/>
          <w:highlight w:val="none"/>
        </w:rPr>
        <w:t>安全</w:t>
      </w:r>
      <w:r>
        <w:rPr>
          <w:rFonts w:ascii="Times New Roman"/>
          <w:highlight w:val="none"/>
        </w:rPr>
        <w:t>监督抽检</w:t>
      </w:r>
      <w:r>
        <w:rPr>
          <w:rFonts w:hint="eastAsia" w:ascii="Times New Roman"/>
          <w:highlight w:val="none"/>
        </w:rPr>
        <w:t>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批次花生油中黄曲霉毒素</w:t>
      </w:r>
      <w:r>
        <w:rPr>
          <w:rFonts w:ascii="Times New Roman"/>
          <w:highlight w:val="none"/>
        </w:rPr>
        <w:t>B</w:t>
      </w:r>
      <w:r>
        <w:rPr>
          <w:rFonts w:ascii="Cambria Math" w:hAnsi="Cambria Math" w:cs="Cambria Math"/>
          <w:highlight w:val="none"/>
        </w:rPr>
        <w:t>₁</w:t>
      </w:r>
      <w:r>
        <w:rPr>
          <w:rFonts w:hint="eastAsia" w:ascii="Times New Roman"/>
          <w:highlight w:val="none"/>
        </w:rPr>
        <w:t>超标。</w:t>
      </w:r>
      <w:r>
        <w:rPr>
          <w:rFonts w:hint="eastAsia" w:ascii="MS Mincho" w:hAnsi="MS Mincho" w:cs="MS Mincho"/>
          <w:highlight w:val="none"/>
        </w:rPr>
        <w:t>花生油中</w:t>
      </w:r>
      <w:r>
        <w:rPr>
          <w:rFonts w:hint="eastAsia" w:ascii="Times New Roman"/>
          <w:highlight w:val="none"/>
        </w:rPr>
        <w:t>黄曲霉毒素</w:t>
      </w:r>
      <w:r>
        <w:rPr>
          <w:rFonts w:ascii="Times New Roman"/>
          <w:highlight w:val="none"/>
        </w:rPr>
        <w:t>B</w:t>
      </w:r>
      <w:r>
        <w:rPr>
          <w:rFonts w:ascii="Cambria Math" w:hAnsi="Cambria Math" w:cs="Cambria Math"/>
          <w:highlight w:val="none"/>
        </w:rPr>
        <w:t>₁</w:t>
      </w:r>
      <w:r>
        <w:rPr>
          <w:rFonts w:hint="eastAsia" w:ascii="MS Mincho" w:hAnsi="MS Mincho" w:cs="MS Mincho"/>
          <w:highlight w:val="none"/>
        </w:rPr>
        <w:t>超标的原因，可能是原料污染，</w:t>
      </w:r>
      <w:r>
        <w:rPr>
          <w:rFonts w:ascii="MS Mincho" w:hAnsi="MS Mincho" w:cs="MS Mincho"/>
          <w:highlight w:val="none"/>
        </w:rPr>
        <w:t>生产</w:t>
      </w:r>
      <w:r>
        <w:rPr>
          <w:rFonts w:hint="eastAsia" w:ascii="MS Mincho" w:hAnsi="MS Mincho" w:cs="MS Mincho"/>
          <w:highlight w:val="none"/>
        </w:rPr>
        <w:t>环境</w:t>
      </w:r>
      <w:r>
        <w:rPr>
          <w:rFonts w:ascii="MS Mincho" w:hAnsi="MS Mincho" w:cs="MS Mincho"/>
          <w:highlight w:val="none"/>
        </w:rPr>
        <w:t>因素造成</w:t>
      </w:r>
      <w:r>
        <w:rPr>
          <w:rFonts w:hint="eastAsia" w:ascii="MS Mincho" w:hAnsi="MS Mincho" w:cs="MS Mincho"/>
          <w:highlight w:val="none"/>
        </w:rPr>
        <w:t>，生产加工过程控制不严等</w:t>
      </w:r>
      <w:r>
        <w:rPr>
          <w:rFonts w:ascii="MS Mincho" w:hAnsi="MS Mincho" w:cs="MS Mincho"/>
          <w:highlight w:val="none"/>
        </w:rPr>
        <w:t>原因造成</w:t>
      </w:r>
      <w:r>
        <w:rPr>
          <w:rFonts w:hint="eastAsia" w:ascii="MS Mincho" w:hAnsi="MS Mincho" w:cs="MS Mincho"/>
          <w:highlight w:val="none"/>
        </w:rPr>
        <w:t>。</w:t>
      </w:r>
    </w:p>
    <w:p w14:paraId="1B78D403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吡虫啉</w:t>
      </w:r>
    </w:p>
    <w:p w14:paraId="61D2B37F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吡虫啉是一种烟碱类超高效杀虫剂，具有广谱、高效、低毒、低残留等特点，对害虫有触杀、胃毒和内吸作用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。吡虫啉超标可能对人体健康产生一定影响，长期食用吡虫啉超标的食品，可能对人体神经、血液等系统有害</w:t>
      </w:r>
      <w:r>
        <w:rPr>
          <w:rFonts w:hint="eastAsia" w:ascii="MS Mincho" w:hAnsi="MS Mincho" w:eastAsia="仿宋_GB2312" w:cs="MS Minch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2763）中规定，吡虫啉在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49F25660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本阶段，“市抽”食品安全监督抽检发现有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中吡虫啉超标，原因可能是农户在种植过程中为快速控制虫害，加大用药量或未遵守采摘间隔期规定，致使上市销售的产品中残留量超标。</w:t>
      </w:r>
    </w:p>
    <w:p w14:paraId="1D86E4B9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噻虫胺</w:t>
      </w:r>
    </w:p>
    <w:p w14:paraId="3A8F7E11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2763）中规定，噻虫胺在芒果中的最大残留限量为0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mg/kg，在香蕉中的最大残留限量为0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mg/kg，在姜中的最大残留限量为0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mg/kg，在辣椒中的最大残留限量为0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5F1218D4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本阶段，“市抽”食品安全监督抽检发现有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批次芒果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1批次香蕉噻虫胺超标，原因可能是农户在种植过程中为快速控制虫害，加大用药量或未遵守采摘间隔期规定，致使上市销售的产品中残留量超标。</w:t>
      </w:r>
    </w:p>
    <w:p w14:paraId="11C4D872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甲硝唑</w:t>
      </w:r>
    </w:p>
    <w:p w14:paraId="6977499C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甲硝唑是一种硝基咪唑类抗生素和抗原虫剂，广泛应用于医疗和养殖领域。长期大量摄入甲硝唑残留超标的食品，可能在人体内蓄积，产生消化道症状、神经系统症状、皮肤症状、膀胱炎、排尿困难、口中金属味和白细胞减少等问题。根据《食品安全国家标准 食品中兽药最大残留限量》（</w:t>
      </w:r>
      <w:r>
        <w:rPr>
          <w:rFonts w:ascii="Times New Roman"/>
          <w:highlight w:val="none"/>
        </w:rPr>
        <w:t>GB 31650</w:t>
      </w:r>
      <w:r>
        <w:rPr>
          <w:rFonts w:hint="eastAsia" w:ascii="Times New Roman"/>
          <w:highlight w:val="none"/>
        </w:rPr>
        <w:t>）中规定，甲硝唑</w:t>
      </w:r>
      <w:r>
        <w:rPr>
          <w:rFonts w:ascii="Times New Roman"/>
          <w:highlight w:val="none"/>
        </w:rPr>
        <w:t>在鸡蛋中</w:t>
      </w:r>
      <w:r>
        <w:rPr>
          <w:rFonts w:hint="eastAsia" w:ascii="Times New Roman"/>
          <w:highlight w:val="none"/>
          <w:lang w:val="en-US" w:eastAsia="zh-CN"/>
        </w:rPr>
        <w:t>不得检出</w:t>
      </w:r>
      <w:r>
        <w:rPr>
          <w:rFonts w:hint="eastAsia" w:ascii="Times New Roman"/>
          <w:highlight w:val="none"/>
        </w:rPr>
        <w:t>。</w:t>
      </w:r>
    </w:p>
    <w:p w14:paraId="5927C357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，“市抽”食品安全监督抽检发现有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批次鸡蛋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甲硝唑超标。超标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可能是在养殖过程中为快速控制疫病，养殖户违规用药致使上市销售产品残留量超标。</w:t>
      </w:r>
    </w:p>
    <w:p w14:paraId="0AFC5708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大肠菌群</w:t>
      </w:r>
    </w:p>
    <w:p w14:paraId="28BE91A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消毒餐（饮）具》（GB 14934-2016）中规定，消毒餐（饮）具中大肠菌群不得检出。</w:t>
      </w:r>
    </w:p>
    <w:p w14:paraId="6624B7A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，“市抽”食品安全监督抽检发现有</w:t>
      </w:r>
      <w:r>
        <w:rPr>
          <w:rFonts w:hint="eastAsia" w:ascii="Times New Roman"/>
          <w:highlight w:val="none"/>
          <w:lang w:val="en-US" w:eastAsia="zh-CN"/>
        </w:rPr>
        <w:t>7</w:t>
      </w:r>
      <w:bookmarkStart w:id="1" w:name="_GoBack"/>
      <w:bookmarkEnd w:id="1"/>
      <w:r>
        <w:rPr>
          <w:rFonts w:hint="eastAsia" w:ascii="Times New Roman"/>
          <w:highlight w:val="none"/>
          <w:lang w:val="en-US" w:eastAsia="zh-CN"/>
        </w:rPr>
        <w:t>批次自消餐饮具中大肠菌群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 w14:paraId="0972FAD7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阴离子合成洗涤剂(以十二烷基苯磺酸钠计)</w:t>
      </w:r>
    </w:p>
    <w:p w14:paraId="1CF87C5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eastAsia="zh-CN"/>
        </w:rPr>
        <w:t>阴离子合成洗涤剂的主要活性成分是十二烷基苯磺酸钠，是一种低毒的化学物质。根据《食品安全国家标准 消毒餐（饮）具》（GB 14934-2016）中规定，消毒餐（饮）具中阴离子合成洗涤剂（以十二烷基苯磺酸钠计）不得检出。</w:t>
      </w:r>
    </w:p>
    <w:p w14:paraId="0EF4D52D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2338"/>
          <w:spacing w:val="5"/>
          <w:highlight w:val="none"/>
          <w:shd w:val="clear" w:color="auto" w:fill="FFFFFF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，“市抽”食品安全监督抽检发现有</w:t>
      </w:r>
      <w:r>
        <w:rPr>
          <w:rFonts w:hint="eastAsia" w:ascii="Times New Roman"/>
          <w:highlight w:val="none"/>
          <w:lang w:val="en-US" w:eastAsia="zh-CN"/>
        </w:rPr>
        <w:t>2批次自消餐饮具中</w:t>
      </w:r>
      <w:r>
        <w:rPr>
          <w:rFonts w:hint="eastAsia" w:ascii="Times New Roman"/>
          <w:highlight w:val="none"/>
          <w:lang w:eastAsia="zh-CN"/>
        </w:rPr>
        <w:t>阴离子合成洗涤剂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</w:t>
      </w:r>
      <w:r>
        <w:rPr>
          <w:rFonts w:hint="eastAsia" w:ascii="Times New Roman"/>
          <w:highlight w:val="none"/>
          <w:lang w:eastAsia="zh-CN"/>
        </w:rPr>
        <w:t>阴离子合成洗涤剂</w:t>
      </w:r>
      <w:r>
        <w:rPr>
          <w:rFonts w:hint="eastAsia" w:ascii="Times New Roman"/>
          <w:highlight w:val="none"/>
        </w:rPr>
        <w:t>超标可能</w:t>
      </w:r>
      <w:r>
        <w:rPr>
          <w:rFonts w:hint="eastAsia" w:ascii="Times New Roman"/>
          <w:highlight w:val="none"/>
          <w:lang w:eastAsia="zh-CN"/>
        </w:rPr>
        <w:t>是用于清洗餐具的洗涤剂不符合标准，洗涤剂用量过大，清洗消毒流程控制不当，洗涤剂或消毒剂未彻底冲洗干净所致</w:t>
      </w:r>
      <w:r>
        <w:rPr>
          <w:rFonts w:hint="eastAsia" w:ascii="Times New Roman"/>
          <w:highlight w:val="none"/>
        </w:rPr>
        <w:t>。</w:t>
      </w:r>
    </w:p>
    <w:p w14:paraId="65D57260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铅(以Pb计)</w:t>
      </w:r>
    </w:p>
    <w:p w14:paraId="4CDEB5BD">
      <w:pPr>
        <w:pStyle w:val="2"/>
        <w:kinsoku w:val="0"/>
        <w:overflowPunct w:val="0"/>
        <w:spacing w:before="0"/>
        <w:ind w:left="0" w:firstLine="660" w:firstLineChars="200"/>
        <w:rPr>
          <w:rFonts w:ascii="Times New Roman"/>
          <w:highlight w:val="none"/>
        </w:rPr>
      </w:pP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</w:t>
      </w:r>
      <w:r>
        <w:rPr>
          <w:rStyle w:val="24"/>
          <w:rFonts w:ascii="Arial" w:hAnsi="Arial" w:cs="Arial"/>
          <w:color w:val="192338"/>
          <w:spacing w:val="5"/>
          <w:highlight w:val="none"/>
          <w:shd w:val="clear" w:color="auto" w:fill="FFFFFF"/>
        </w:rPr>
        <w:t>是一种有毒重金属元素，广泛存在于自然界中，铅对中枢神经系统和周围神经系统都有损害作用，尤其是对儿童的影响更为严重，可能导致智力低下、学习障碍和行为异常。</w:t>
      </w:r>
      <w:r>
        <w:rPr>
          <w:rFonts w:ascii="Arial" w:hAnsi="Arial" w:cs="Arial"/>
          <w:color w:val="192338"/>
          <w:spacing w:val="5"/>
          <w:highlight w:val="none"/>
          <w:shd w:val="clear" w:color="auto" w:fill="FFFFFF"/>
        </w:rPr>
        <w:t>铅可抑制血红蛋白合成，引起贫血，表现为疲劳、乏力等症状。</w:t>
      </w:r>
      <w:r>
        <w:rPr>
          <w:rStyle w:val="24"/>
          <w:rFonts w:ascii="Arial" w:hAnsi="Arial" w:cs="Arial"/>
          <w:color w:val="192338"/>
          <w:spacing w:val="5"/>
          <w:highlight w:val="none"/>
          <w:shd w:val="clear" w:color="auto" w:fill="FFFFFF"/>
        </w:rPr>
        <w:t>成人长期暴露则可能出现神经衰弱、周围神经炎等症状。</w:t>
      </w:r>
      <w:r>
        <w:rPr>
          <w:rFonts w:hint="eastAsia" w:ascii="Times New Roman"/>
          <w:highlight w:val="none"/>
        </w:rPr>
        <w:t>根据《食品安全国家标准 食品中污染物限量》（GB 276</w:t>
      </w:r>
      <w:r>
        <w:rPr>
          <w:rFonts w:ascii="Times New Roman"/>
          <w:highlight w:val="none"/>
        </w:rPr>
        <w:t>2</w:t>
      </w:r>
      <w:r>
        <w:rPr>
          <w:rFonts w:hint="eastAsia" w:ascii="Times New Roman"/>
          <w:highlight w:val="none"/>
        </w:rPr>
        <w:t>）中规定，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</w:t>
      </w:r>
      <w:r>
        <w:rPr>
          <w:rFonts w:hint="eastAsia" w:ascii="Times New Roman"/>
          <w:highlight w:val="none"/>
        </w:rPr>
        <w:t>在姜中检测值不得超过0</w:t>
      </w:r>
      <w:r>
        <w:rPr>
          <w:rFonts w:ascii="Times New Roman"/>
          <w:highlight w:val="none"/>
        </w:rPr>
        <w:t>.2 mg/kg</w:t>
      </w:r>
      <w:r>
        <w:rPr>
          <w:rFonts w:hint="eastAsia" w:ascii="Times New Roman"/>
          <w:highlight w:val="none"/>
        </w:rPr>
        <w:t>。</w:t>
      </w:r>
    </w:p>
    <w:p w14:paraId="2AE62F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/>
        <w:ind w:left="0" w:leftChars="0" w:firstLine="640" w:firstLineChars="200"/>
        <w:textAlignment w:val="auto"/>
        <w:rPr>
          <w:rFonts w:ascii="黑体" w:hAnsi="黑体" w:eastAsia="黑体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，“市抽”食品安全监督抽检发现有</w:t>
      </w:r>
      <w:r>
        <w:rPr>
          <w:rFonts w:hint="eastAsia" w:ascii="Times New Roman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批次姜</w:t>
      </w:r>
      <w:r>
        <w:rPr>
          <w:rFonts w:ascii="Times New Roman"/>
          <w:highlight w:val="none"/>
        </w:rPr>
        <w:t>中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铅(以Pb计)超标</w:t>
      </w:r>
      <w:r>
        <w:rPr>
          <w:rFonts w:hint="eastAsia" w:ascii="Times New Roman"/>
          <w:highlight w:val="none"/>
        </w:rPr>
        <w:t>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</w:t>
      </w:r>
      <w:r>
        <w:rPr>
          <w:rFonts w:ascii="Times New Roman"/>
          <w:highlight w:val="none"/>
        </w:rPr>
        <w:t>环境污染导致的食品链污染。以及</w:t>
      </w:r>
      <w:r>
        <w:rPr>
          <w:rFonts w:hint="eastAsia" w:ascii="Times New Roman"/>
          <w:highlight w:val="none"/>
        </w:rPr>
        <w:t>农业生产活动中使用含铅的农药、化肥和灌溉水可能导致农作物直接吸收铅导致铅超标。</w:t>
      </w:r>
    </w:p>
    <w:p w14:paraId="5C4ACA8A">
      <w:pPr>
        <w:pStyle w:val="2"/>
        <w:numPr>
          <w:ilvl w:val="0"/>
          <w:numId w:val="1"/>
        </w:numPr>
        <w:kinsoku w:val="0"/>
        <w:overflowPunct w:val="0"/>
        <w:spacing w:before="0"/>
        <w:ind w:left="0" w:leftChars="0" w:firstLine="420" w:firstLineChars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铝的残留量(干样品,以Al计)</w:t>
      </w:r>
    </w:p>
    <w:p w14:paraId="318D166E">
      <w:pPr>
        <w:pStyle w:val="2"/>
        <w:kinsoku w:val="0"/>
        <w:overflowPunct w:val="0"/>
        <w:spacing w:before="0"/>
        <w:ind w:left="0" w:firstLine="660" w:firstLineChars="200"/>
        <w:rPr>
          <w:rFonts w:ascii="Times New Roman"/>
          <w:highlight w:val="none"/>
        </w:rPr>
      </w:pP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铝的残留量(干样品,以Al计)</w:t>
      </w:r>
      <w:r>
        <w:rPr>
          <w:rStyle w:val="24"/>
          <w:rFonts w:hint="eastAsia" w:ascii="Arial" w:hAnsi="Arial" w:eastAsia="宋体" w:cs="Arial"/>
          <w:color w:val="192338"/>
          <w:spacing w:val="5"/>
          <w:highlight w:val="none"/>
          <w:shd w:val="clear" w:color="auto" w:fill="FFFFFF"/>
        </w:rPr>
        <w:t>指食品中含有的铝元素的含量</w:t>
      </w:r>
      <w:r>
        <w:rPr>
          <w:rStyle w:val="24"/>
          <w:rFonts w:ascii="Arial" w:hAnsi="Arial" w:cs="Arial"/>
          <w:color w:val="192338"/>
          <w:spacing w:val="5"/>
          <w:highlight w:val="none"/>
          <w:shd w:val="clear" w:color="auto" w:fill="FFFFFF"/>
        </w:rPr>
        <w:t>。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长期摄入铝残留量超标的食品，可能影响人体对铁、钙等营养元素的吸收，从而导致骨质疏松、贫血等，甚至影响神经细胞的发育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  <w:lang w:eastAsia="zh-CN"/>
        </w:rPr>
        <w:t>。</w:t>
      </w:r>
      <w:r>
        <w:rPr>
          <w:rFonts w:hint="eastAsia" w:ascii="Times New Roman"/>
          <w:highlight w:val="none"/>
        </w:rPr>
        <w:t>根据《食品安全国家标准 食品添加剂使用标准》（GB 2760）中规定，铝的残留量(干样品,以Al计)</w:t>
      </w:r>
      <w:r>
        <w:rPr>
          <w:rFonts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油条</w:t>
      </w:r>
      <w:r>
        <w:rPr>
          <w:rFonts w:hint="eastAsia" w:ascii="Times New Roman"/>
          <w:highlight w:val="none"/>
        </w:rPr>
        <w:t>中检测值不得超过</w:t>
      </w:r>
      <w:r>
        <w:rPr>
          <w:rFonts w:hint="eastAsia" w:ascii="Times New Roman"/>
          <w:highlight w:val="none"/>
          <w:lang w:val="en-US" w:eastAsia="zh-CN"/>
        </w:rPr>
        <w:t>100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m</w:t>
      </w:r>
      <w:r>
        <w:rPr>
          <w:rFonts w:ascii="Times New Roman"/>
          <w:highlight w:val="none"/>
        </w:rPr>
        <w:t>g/kg</w:t>
      </w:r>
      <w:r>
        <w:rPr>
          <w:rFonts w:hint="eastAsia" w:ascii="Times New Roman"/>
          <w:highlight w:val="none"/>
        </w:rPr>
        <w:t>。</w:t>
      </w:r>
    </w:p>
    <w:p w14:paraId="005C1D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/>
        <w:ind w:left="0" w:leftChars="0" w:firstLine="960" w:firstLineChars="300"/>
        <w:textAlignment w:val="auto"/>
        <w:rPr>
          <w:rFonts w:ascii="黑体" w:hAnsi="黑体" w:eastAsia="黑体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，“市抽”食品安全监督抽检发现有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油条中铝的残留量超标</w:t>
      </w:r>
      <w:r>
        <w:rPr>
          <w:rFonts w:hint="eastAsia" w:ascii="Times New Roman"/>
          <w:highlight w:val="none"/>
        </w:rPr>
        <w:t>。不合格</w:t>
      </w:r>
      <w:r>
        <w:rPr>
          <w:rFonts w:ascii="Times New Roman"/>
          <w:highlight w:val="none"/>
        </w:rPr>
        <w:t>的原因</w:t>
      </w:r>
      <w:r>
        <w:rPr>
          <w:rFonts w:hint="eastAsia" w:ascii="Times New Roman"/>
          <w:highlight w:val="none"/>
        </w:rPr>
        <w:t>可能是企业</w:t>
      </w:r>
      <w:r>
        <w:rPr>
          <w:rFonts w:ascii="Arial" w:hAnsi="Arial" w:cs="Arial"/>
          <w:color w:val="192338"/>
          <w:spacing w:val="5"/>
          <w:highlight w:val="none"/>
          <w:shd w:val="clear" w:color="auto" w:fill="FFFFFF"/>
        </w:rPr>
        <w:t>为了</w:t>
      </w:r>
      <w:r>
        <w:rPr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改善产品卖相和口感，在生产加工过程中超限量使用含铝添加剂，或者其使用的复配添加剂中铝含量过高。</w:t>
      </w:r>
    </w:p>
    <w:p w14:paraId="60993D50">
      <w:pPr>
        <w:pStyle w:val="2"/>
        <w:numPr>
          <w:ilvl w:val="0"/>
          <w:numId w:val="0"/>
        </w:numPr>
        <w:kinsoku w:val="0"/>
        <w:overflowPunct w:val="0"/>
        <w:spacing w:before="0"/>
        <w:ind w:left="420" w:leftChars="0"/>
        <w:rPr>
          <w:rFonts w:hint="eastAsia" w:ascii="黑体" w:hAnsi="黑体" w:eastAsia="黑体"/>
          <w:highlight w:val="none"/>
        </w:rPr>
      </w:pP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038BB39F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DECD1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C2B5D"/>
    <w:multiLevelType w:val="singleLevel"/>
    <w:tmpl w:val="1CFC2B5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1330BCF"/>
    <w:rsid w:val="01583409"/>
    <w:rsid w:val="01A31475"/>
    <w:rsid w:val="01AA7D1B"/>
    <w:rsid w:val="02050309"/>
    <w:rsid w:val="025F1DD2"/>
    <w:rsid w:val="02665C60"/>
    <w:rsid w:val="03A64228"/>
    <w:rsid w:val="04811FE9"/>
    <w:rsid w:val="04D1736D"/>
    <w:rsid w:val="05A83105"/>
    <w:rsid w:val="060D0713"/>
    <w:rsid w:val="071B502C"/>
    <w:rsid w:val="079D70A7"/>
    <w:rsid w:val="07C9494C"/>
    <w:rsid w:val="07F85594"/>
    <w:rsid w:val="08471E20"/>
    <w:rsid w:val="09FB194E"/>
    <w:rsid w:val="0A5511B5"/>
    <w:rsid w:val="0C29257C"/>
    <w:rsid w:val="0C3A016B"/>
    <w:rsid w:val="0CE260BC"/>
    <w:rsid w:val="0D2C55B8"/>
    <w:rsid w:val="0D380677"/>
    <w:rsid w:val="0EF40D5A"/>
    <w:rsid w:val="0EF600FC"/>
    <w:rsid w:val="0FB4693D"/>
    <w:rsid w:val="0FC05C0E"/>
    <w:rsid w:val="110D523F"/>
    <w:rsid w:val="11803FE3"/>
    <w:rsid w:val="13217BBE"/>
    <w:rsid w:val="139B23FB"/>
    <w:rsid w:val="145C002F"/>
    <w:rsid w:val="14820806"/>
    <w:rsid w:val="153C5486"/>
    <w:rsid w:val="156D6C3E"/>
    <w:rsid w:val="15C66F7E"/>
    <w:rsid w:val="1665388A"/>
    <w:rsid w:val="16907992"/>
    <w:rsid w:val="16F166EF"/>
    <w:rsid w:val="17223CDA"/>
    <w:rsid w:val="17322A40"/>
    <w:rsid w:val="1816256E"/>
    <w:rsid w:val="185354DF"/>
    <w:rsid w:val="187C1786"/>
    <w:rsid w:val="19481F81"/>
    <w:rsid w:val="1A0758B3"/>
    <w:rsid w:val="1AB10DF9"/>
    <w:rsid w:val="1AE527E8"/>
    <w:rsid w:val="1AEC063C"/>
    <w:rsid w:val="1BDA3BAB"/>
    <w:rsid w:val="1C3A116B"/>
    <w:rsid w:val="1C9B7729"/>
    <w:rsid w:val="1DC675AB"/>
    <w:rsid w:val="1DE0470B"/>
    <w:rsid w:val="1F10520A"/>
    <w:rsid w:val="1F461181"/>
    <w:rsid w:val="1F5406AF"/>
    <w:rsid w:val="20434B05"/>
    <w:rsid w:val="215441BB"/>
    <w:rsid w:val="22804455"/>
    <w:rsid w:val="23D6464A"/>
    <w:rsid w:val="23EA427B"/>
    <w:rsid w:val="241A01E2"/>
    <w:rsid w:val="24513157"/>
    <w:rsid w:val="24545B99"/>
    <w:rsid w:val="24F459A5"/>
    <w:rsid w:val="25D93DCD"/>
    <w:rsid w:val="261B7905"/>
    <w:rsid w:val="26411D71"/>
    <w:rsid w:val="26DA3D9D"/>
    <w:rsid w:val="273336B6"/>
    <w:rsid w:val="29E20AEA"/>
    <w:rsid w:val="2A4C2E6E"/>
    <w:rsid w:val="2B277B63"/>
    <w:rsid w:val="2C646EEF"/>
    <w:rsid w:val="2CB573F1"/>
    <w:rsid w:val="2D84231F"/>
    <w:rsid w:val="2E4622A1"/>
    <w:rsid w:val="2EED3D6C"/>
    <w:rsid w:val="2F9E5968"/>
    <w:rsid w:val="31102BF4"/>
    <w:rsid w:val="32E77D9B"/>
    <w:rsid w:val="34161ADD"/>
    <w:rsid w:val="343F3BB6"/>
    <w:rsid w:val="34F12F90"/>
    <w:rsid w:val="35D661B7"/>
    <w:rsid w:val="373D0691"/>
    <w:rsid w:val="386E3CE1"/>
    <w:rsid w:val="3A4A0CD0"/>
    <w:rsid w:val="3C10662E"/>
    <w:rsid w:val="3C1814F4"/>
    <w:rsid w:val="3C9D47AE"/>
    <w:rsid w:val="3CDD6481"/>
    <w:rsid w:val="3E5D5A31"/>
    <w:rsid w:val="3F061B58"/>
    <w:rsid w:val="3F94181E"/>
    <w:rsid w:val="420936C7"/>
    <w:rsid w:val="42180B39"/>
    <w:rsid w:val="422F6EA6"/>
    <w:rsid w:val="42D83145"/>
    <w:rsid w:val="43164218"/>
    <w:rsid w:val="43167039"/>
    <w:rsid w:val="434E3083"/>
    <w:rsid w:val="441476A7"/>
    <w:rsid w:val="452572E5"/>
    <w:rsid w:val="45555FC7"/>
    <w:rsid w:val="467C12B0"/>
    <w:rsid w:val="468F727E"/>
    <w:rsid w:val="46E356D8"/>
    <w:rsid w:val="47F72214"/>
    <w:rsid w:val="48255976"/>
    <w:rsid w:val="484819B2"/>
    <w:rsid w:val="49717D67"/>
    <w:rsid w:val="498A2FFF"/>
    <w:rsid w:val="49926875"/>
    <w:rsid w:val="499F7236"/>
    <w:rsid w:val="49C34614"/>
    <w:rsid w:val="4A633B90"/>
    <w:rsid w:val="4ABE596A"/>
    <w:rsid w:val="4B0A7982"/>
    <w:rsid w:val="4B6F0FB6"/>
    <w:rsid w:val="4BBB58FC"/>
    <w:rsid w:val="4CBD3A2C"/>
    <w:rsid w:val="4D017EE9"/>
    <w:rsid w:val="4D2676C6"/>
    <w:rsid w:val="4EFC63A0"/>
    <w:rsid w:val="4F141BFC"/>
    <w:rsid w:val="4FA5149A"/>
    <w:rsid w:val="4FF14604"/>
    <w:rsid w:val="503D0049"/>
    <w:rsid w:val="5103726B"/>
    <w:rsid w:val="51850890"/>
    <w:rsid w:val="519835D9"/>
    <w:rsid w:val="527427EC"/>
    <w:rsid w:val="52BD5936"/>
    <w:rsid w:val="52DD3116"/>
    <w:rsid w:val="539B7B56"/>
    <w:rsid w:val="544669FD"/>
    <w:rsid w:val="54B83B2B"/>
    <w:rsid w:val="55CA5055"/>
    <w:rsid w:val="55FD758F"/>
    <w:rsid w:val="562436B8"/>
    <w:rsid w:val="568C54A1"/>
    <w:rsid w:val="571446AC"/>
    <w:rsid w:val="571C116D"/>
    <w:rsid w:val="576C7C19"/>
    <w:rsid w:val="5793209C"/>
    <w:rsid w:val="58964CA3"/>
    <w:rsid w:val="590066E4"/>
    <w:rsid w:val="597177C9"/>
    <w:rsid w:val="59DC7588"/>
    <w:rsid w:val="5A3436F3"/>
    <w:rsid w:val="5AE14D89"/>
    <w:rsid w:val="5B70794E"/>
    <w:rsid w:val="5BCF1086"/>
    <w:rsid w:val="5BFF3F86"/>
    <w:rsid w:val="5D1B534F"/>
    <w:rsid w:val="5D4E1EA4"/>
    <w:rsid w:val="5DA61DC0"/>
    <w:rsid w:val="5FF768EF"/>
    <w:rsid w:val="6082054A"/>
    <w:rsid w:val="62E551E2"/>
    <w:rsid w:val="63125F32"/>
    <w:rsid w:val="635C5093"/>
    <w:rsid w:val="6472552C"/>
    <w:rsid w:val="663F505A"/>
    <w:rsid w:val="66A17201"/>
    <w:rsid w:val="67486B56"/>
    <w:rsid w:val="6772249D"/>
    <w:rsid w:val="67FD36C9"/>
    <w:rsid w:val="684C1AB9"/>
    <w:rsid w:val="68D979E8"/>
    <w:rsid w:val="6A473887"/>
    <w:rsid w:val="6A7C062B"/>
    <w:rsid w:val="6BBC2D73"/>
    <w:rsid w:val="6C944351"/>
    <w:rsid w:val="6C96463E"/>
    <w:rsid w:val="6CBC3F1E"/>
    <w:rsid w:val="6D4F6DBD"/>
    <w:rsid w:val="6DAD74CE"/>
    <w:rsid w:val="6E3D03BA"/>
    <w:rsid w:val="6E8E182D"/>
    <w:rsid w:val="6E982C53"/>
    <w:rsid w:val="6F072C54"/>
    <w:rsid w:val="6F6A75EB"/>
    <w:rsid w:val="707149AA"/>
    <w:rsid w:val="71DD0A61"/>
    <w:rsid w:val="734D40B3"/>
    <w:rsid w:val="73846F32"/>
    <w:rsid w:val="738B241F"/>
    <w:rsid w:val="73A570F9"/>
    <w:rsid w:val="74D07EF1"/>
    <w:rsid w:val="758F6A52"/>
    <w:rsid w:val="77831DD0"/>
    <w:rsid w:val="779514CC"/>
    <w:rsid w:val="7927654D"/>
    <w:rsid w:val="79846997"/>
    <w:rsid w:val="79AB6836"/>
    <w:rsid w:val="79E60EC7"/>
    <w:rsid w:val="7A112D6D"/>
    <w:rsid w:val="7AED7215"/>
    <w:rsid w:val="7B1F5CAB"/>
    <w:rsid w:val="7D2D4F94"/>
    <w:rsid w:val="7DC4490E"/>
    <w:rsid w:val="7DE13CC0"/>
    <w:rsid w:val="7DF62E04"/>
    <w:rsid w:val="7E544BA5"/>
    <w:rsid w:val="7ECD0561"/>
    <w:rsid w:val="7ECD2214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TML Definition"/>
    <w:basedOn w:val="10"/>
    <w:semiHidden/>
    <w:unhideWhenUsed/>
    <w:qFormat/>
    <w:uiPriority w:val="99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4">
    <w:name w:val="qk-md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1876</Words>
  <Characters>1992</Characters>
  <Lines>30</Lines>
  <Paragraphs>8</Paragraphs>
  <TotalTime>28</TotalTime>
  <ScaleCrop>false</ScaleCrop>
  <LinksUpToDate>false</LinksUpToDate>
  <CharactersWithSpaces>2010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Rion</cp:lastModifiedBy>
  <cp:lastPrinted>2017-03-29T07:42:00Z</cp:lastPrinted>
  <dcterms:modified xsi:type="dcterms:W3CDTF">2025-05-28T07:50:31Z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F53398C77CEB4186AC94A82A6899E22F_13</vt:lpwstr>
  </property>
  <property fmtid="{D5CDD505-2E9C-101B-9397-08002B2CF9AE}" pid="4" name="KSOTemplateDocerSaveRecord">
    <vt:lpwstr>eyJoZGlkIjoiOGQ3M2RhZDY5OGJhODQwOTQ4ZDNlZTJlYjU5YTIyYjUiLCJ1c2VySWQiOiI3OTA2MjI4MDcifQ==</vt:lpwstr>
  </property>
</Properties>
</file>