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D95C9">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17AE6C84">
      <w:pPr>
        <w:jc w:val="center"/>
        <w:rPr>
          <w:rFonts w:ascii="方正小标宋简体" w:eastAsia="方正小标宋简体"/>
          <w:sz w:val="44"/>
          <w:szCs w:val="44"/>
        </w:rPr>
      </w:pPr>
      <w:r>
        <w:rPr>
          <w:rFonts w:hint="eastAsia" w:ascii="方正小标宋简体" w:eastAsia="方正小标宋简体"/>
          <w:sz w:val="44"/>
          <w:szCs w:val="44"/>
          <w:lang w:eastAsia="zh-CN"/>
        </w:rPr>
        <w:t>不合格</w:t>
      </w:r>
      <w:bookmarkStart w:id="0" w:name="_GoBack"/>
      <w:bookmarkEnd w:id="0"/>
      <w:r>
        <w:rPr>
          <w:rFonts w:hint="eastAsia" w:ascii="方正小标宋简体" w:eastAsia="方正小标宋简体"/>
          <w:sz w:val="44"/>
          <w:szCs w:val="44"/>
        </w:rPr>
        <w:t>项目的说明</w:t>
      </w:r>
    </w:p>
    <w:p w14:paraId="7B105F28"/>
    <w:p w14:paraId="54611191">
      <w:pPr>
        <w:pStyle w:val="2"/>
        <w:kinsoku w:val="0"/>
        <w:overflowPunct w:val="0"/>
        <w:spacing w:before="0"/>
        <w:ind w:left="0" w:firstLine="640" w:firstLineChars="200"/>
        <w:rPr>
          <w:rFonts w:ascii="黑体" w:hAnsi="黑体" w:eastAsia="黑体"/>
        </w:rPr>
      </w:pPr>
      <w:r>
        <w:rPr>
          <w:rFonts w:hint="eastAsia" w:ascii="黑体" w:hAnsi="黑体" w:eastAsia="黑体"/>
        </w:rPr>
        <w:t>一</w:t>
      </w:r>
      <w:r>
        <w:rPr>
          <w:rFonts w:ascii="黑体" w:hAnsi="黑体" w:eastAsia="黑体"/>
        </w:rPr>
        <w:t>、</w:t>
      </w:r>
      <w:r>
        <w:rPr>
          <w:rFonts w:hint="eastAsia" w:ascii="黑体" w:hAnsi="黑体" w:eastAsia="黑体"/>
        </w:rPr>
        <w:t>苯并[a]芘</w:t>
      </w:r>
    </w:p>
    <w:p w14:paraId="4E1FBC33">
      <w:pPr>
        <w:pStyle w:val="2"/>
        <w:kinsoku w:val="0"/>
        <w:overflowPunct w:val="0"/>
        <w:spacing w:before="0"/>
        <w:ind w:left="0" w:firstLine="640" w:firstLineChars="200"/>
        <w:rPr>
          <w:rFonts w:ascii="Times New Roman"/>
        </w:rPr>
      </w:pPr>
      <w:r>
        <w:rPr>
          <w:rFonts w:hint="eastAsia" w:ascii="Times New Roman"/>
        </w:rPr>
        <w:t>苯并[a]芘是一种广泛存在于环境中的多环芳烃类化合物，因其强致癌性而受到广泛关注。长期摄入</w:t>
      </w:r>
      <w:r>
        <w:rPr>
          <w:rFonts w:ascii="Times New Roman"/>
        </w:rPr>
        <w:t>苯并[a]芘</w:t>
      </w:r>
      <w:r>
        <w:rPr>
          <w:rFonts w:hint="eastAsia" w:ascii="Times New Roman"/>
        </w:rPr>
        <w:t>超标的食品可能增加患胃癌、肺癌、皮肤癌等多种癌症的风险，</w:t>
      </w:r>
      <w:r>
        <w:rPr>
          <w:rFonts w:ascii="Times New Roman"/>
        </w:rPr>
        <w:t>还可能对胎儿发育造成不良影响，影响生殖能力，可能导致胚胎死亡、生育能力降低或不育等问题</w:t>
      </w:r>
      <w:r>
        <w:rPr>
          <w:rFonts w:hint="eastAsia" w:ascii="Times New Roman"/>
        </w:rPr>
        <w:t>，</w:t>
      </w:r>
      <w:r>
        <w:rPr>
          <w:rFonts w:ascii="Arial" w:hAnsi="Arial" w:cs="Arial"/>
          <w:color w:val="192338"/>
          <w:spacing w:val="5"/>
          <w:shd w:val="clear" w:color="auto" w:fill="FFFFFF"/>
        </w:rPr>
        <w:t>还可能抑制免疫系统功能，增加感染其他疾病的风险</w:t>
      </w:r>
      <w:r>
        <w:rPr>
          <w:rFonts w:hint="eastAsia" w:ascii="Times New Roman"/>
        </w:rPr>
        <w:t>。</w:t>
      </w:r>
      <w:r>
        <w:rPr>
          <w:rFonts w:ascii="MS Mincho" w:hAnsi="MS Mincho" w:cs="MS Mincho"/>
        </w:rPr>
        <w:t>‌</w:t>
      </w:r>
      <w:r>
        <w:rPr>
          <w:rFonts w:hint="eastAsia" w:ascii="MS Mincho" w:hAnsi="MS Mincho" w:cs="MS Mincho"/>
        </w:rPr>
        <w:t>《食品安全国家标准 食品中污染物限量》（</w:t>
      </w:r>
      <w:r>
        <w:rPr>
          <w:rFonts w:ascii="MS Mincho" w:hAnsi="MS Mincho" w:cs="MS Mincho"/>
        </w:rPr>
        <w:t>GB 2762</w:t>
      </w:r>
      <w:r>
        <w:rPr>
          <w:rFonts w:hint="eastAsia" w:ascii="MS Mincho" w:hAnsi="MS Mincho" w:cs="MS Mincho"/>
        </w:rPr>
        <w:t>）中规定，花生油中苯并[a]芘检测</w:t>
      </w:r>
      <w:r>
        <w:rPr>
          <w:rFonts w:ascii="MS Mincho" w:hAnsi="MS Mincho" w:cs="MS Mincho"/>
        </w:rPr>
        <w:t xml:space="preserve">值不得超过10 </w:t>
      </w:r>
      <w:r>
        <w:rPr>
          <w:rFonts w:hint="eastAsia" w:ascii="MS Mincho" w:hAnsi="MS Mincho" w:cs="MS Mincho"/>
        </w:rPr>
        <w:t>µ</w:t>
      </w:r>
      <w:r>
        <w:rPr>
          <w:rFonts w:ascii="MS Mincho" w:hAnsi="MS Mincho" w:cs="MS Mincho"/>
        </w:rPr>
        <w:t>g/kg</w:t>
      </w:r>
      <w:r>
        <w:rPr>
          <w:rFonts w:hint="eastAsia" w:ascii="MS Mincho" w:hAnsi="MS Mincho" w:cs="MS Mincho"/>
        </w:rPr>
        <w:t>。</w:t>
      </w:r>
    </w:p>
    <w:p w14:paraId="3E88E949">
      <w:pPr>
        <w:pStyle w:val="2"/>
        <w:kinsoku w:val="0"/>
        <w:overflowPunct w:val="0"/>
        <w:spacing w:before="0"/>
        <w:ind w:left="0" w:firstLine="640" w:firstLineChars="200"/>
        <w:rPr>
          <w:rFonts w:ascii="MS Mincho" w:hAnsi="MS Mincho" w:cs="MS Mincho"/>
        </w:rPr>
      </w:pPr>
      <w:r>
        <w:rPr>
          <w:rFonts w:hint="eastAsia" w:ascii="Times New Roman"/>
        </w:rPr>
        <w:t>本</w:t>
      </w:r>
      <w:r>
        <w:rPr>
          <w:rFonts w:ascii="Times New Roman"/>
        </w:rPr>
        <w:t>阶段</w:t>
      </w:r>
      <w:r>
        <w:rPr>
          <w:rFonts w:hint="eastAsia" w:ascii="Times New Roman"/>
        </w:rPr>
        <w:t>，“市抽”</w:t>
      </w:r>
      <w:r>
        <w:rPr>
          <w:rFonts w:ascii="Times New Roman"/>
        </w:rPr>
        <w:t>食品</w:t>
      </w:r>
      <w:r>
        <w:rPr>
          <w:rFonts w:hint="eastAsia" w:ascii="Times New Roman"/>
        </w:rPr>
        <w:t>安全</w:t>
      </w:r>
      <w:r>
        <w:rPr>
          <w:rFonts w:ascii="Times New Roman"/>
        </w:rPr>
        <w:t>监督抽检</w:t>
      </w:r>
      <w:r>
        <w:rPr>
          <w:rFonts w:hint="eastAsia" w:ascii="Times New Roman"/>
        </w:rPr>
        <w:t>发现有</w:t>
      </w:r>
      <w:r>
        <w:t>1</w:t>
      </w:r>
      <w:r>
        <w:rPr>
          <w:rFonts w:hint="eastAsia" w:ascii="Times New Roman"/>
        </w:rPr>
        <w:t>批次花生油中</w:t>
      </w:r>
      <w:r>
        <w:rPr>
          <w:rFonts w:hint="eastAsia" w:ascii="MS Mincho" w:hAnsi="MS Mincho" w:cs="MS Mincho"/>
        </w:rPr>
        <w:t>苯并[a]芘</w:t>
      </w:r>
      <w:r>
        <w:rPr>
          <w:rFonts w:hint="eastAsia" w:ascii="Times New Roman"/>
        </w:rPr>
        <w:t>超标。</w:t>
      </w:r>
      <w:r>
        <w:rPr>
          <w:rFonts w:hint="eastAsia" w:ascii="MS Mincho" w:hAnsi="MS Mincho" w:cs="MS Mincho"/>
        </w:rPr>
        <w:t>花生油中苯并[a]芘超标的原因，可能是</w:t>
      </w:r>
      <w:r>
        <w:rPr>
          <w:rFonts w:ascii="Arial" w:hAnsi="Arial" w:cs="Arial"/>
          <w:color w:val="192338"/>
          <w:spacing w:val="5"/>
          <w:shd w:val="clear" w:color="auto" w:fill="FFFFFF"/>
        </w:rPr>
        <w:t>花生油在加工过程中，如果温度控制不当，特别是在高温蒸炒阶段，容易产生苯并[a]芘</w:t>
      </w:r>
      <w:r>
        <w:rPr>
          <w:rFonts w:hint="eastAsia" w:ascii="Arial" w:hAnsi="Arial" w:cs="Arial"/>
          <w:color w:val="192338"/>
          <w:spacing w:val="5"/>
          <w:shd w:val="clear" w:color="auto" w:fill="FFFFFF"/>
        </w:rPr>
        <w:t>，或</w:t>
      </w:r>
      <w:r>
        <w:rPr>
          <w:rFonts w:ascii="Arial" w:hAnsi="Arial" w:cs="Arial"/>
          <w:color w:val="192338"/>
          <w:spacing w:val="5"/>
          <w:shd w:val="clear" w:color="auto" w:fill="FFFFFF"/>
        </w:rPr>
        <w:t>精炼工艺不当，如脱色、脱臭等过程控制不佳，可能无法有效去除苯并[a]芘，导致成品油中苯并[a]芘含量超标</w:t>
      </w:r>
      <w:r>
        <w:rPr>
          <w:rFonts w:hint="eastAsia" w:ascii="MS Mincho" w:hAnsi="MS Mincho" w:cs="MS Mincho"/>
        </w:rPr>
        <w:t>。也可能是花生在种植、储存和运输过程中可能受到土壤、水和大气中苯并[a]芘的污染。</w:t>
      </w:r>
    </w:p>
    <w:p w14:paraId="10EA38B5">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、毒死蜱</w:t>
      </w:r>
    </w:p>
    <w:p w14:paraId="5A2E9BD2">
      <w:pPr>
        <w:widowControl/>
        <w:suppressAutoHyphens/>
        <w:ind w:firstLine="640" w:firstLineChars="200"/>
        <w:rPr>
          <w:rFonts w:ascii="Times New Roman" w:hAnsi="Times New Roman" w:eastAsia="仿宋_GB23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Times New Roman" w:hAnsi="Times New Roman" w:eastAsia="仿宋_GB2312"/>
          <w:sz w:val="32"/>
          <w:szCs w:val="32"/>
        </w:rPr>
        <w:t>根据《食品安全国家标准 食品中农药最大残留限量》（GB 2763）中规定，</w:t>
      </w:r>
      <w:r>
        <w:rPr>
          <w:rFonts w:ascii="Times New Roman" w:hAnsi="Times New Roman" w:eastAsia="仿宋_GB2312"/>
          <w:sz w:val="32"/>
          <w:szCs w:val="32"/>
        </w:rPr>
        <w:t>毒死蜱</w:t>
      </w:r>
      <w:r>
        <w:rPr>
          <w:rFonts w:hint="eastAsia" w:ascii="Times New Roman" w:hAnsi="Times New Roman" w:eastAsia="仿宋_GB2312"/>
          <w:sz w:val="32"/>
          <w:szCs w:val="32"/>
        </w:rPr>
        <w:t>在葱中的最大残留限量为0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mg/kg，在胡萝卜中的最大残留限量为0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mg/kg，在马铃薯中的最大残留限量为0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mg/kg，在芹菜中的最大残留限量为0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3FF47D77">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批次葱中</w:t>
      </w:r>
      <w:r>
        <w:rPr>
          <w:rFonts w:ascii="Times New Roman" w:hAnsi="Times New Roman" w:eastAsia="仿宋_GB2312"/>
          <w:sz w:val="32"/>
          <w:szCs w:val="32"/>
        </w:rPr>
        <w:t>毒死蜱</w:t>
      </w:r>
      <w:r>
        <w:rPr>
          <w:rFonts w:hint="eastAsia" w:ascii="Times New Roman" w:hAnsi="Times New Roman" w:eastAsia="仿宋_GB2312"/>
          <w:sz w:val="32"/>
          <w:szCs w:val="32"/>
        </w:rPr>
        <w:t>超标，原因可能是农户在种植过程中为快速控制虫害，加大用药量或未遵守采摘间隔期规定，致使上市销售的产品中残留量超标。</w:t>
      </w:r>
    </w:p>
    <w:p w14:paraId="0BE9D75D">
      <w:pPr>
        <w:widowControl/>
        <w:suppressAutoHyphens/>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lang w:eastAsia="zh-CN"/>
        </w:rPr>
        <w:t>三</w:t>
      </w:r>
      <w:r>
        <w:rPr>
          <w:rFonts w:hint="eastAsia" w:ascii="Times New Roman" w:hAnsi="Times New Roman" w:eastAsia="仿宋_GB2312"/>
          <w:b/>
          <w:sz w:val="32"/>
          <w:szCs w:val="32"/>
        </w:rPr>
        <w:t>、噻虫胺</w:t>
      </w:r>
    </w:p>
    <w:p w14:paraId="207EF308">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噻虫胺属于新烟碱类杀虫剂，具有内吸性、触杀和胃毒作用，长期食用噻虫胺超标的食品可能对人体健康有一定影响。根据《食品安全国家标准 食品中农药最大残留限量》（GB 2763）中规定，噻虫胺在芒果中的最大残留限量为0</w:t>
      </w:r>
      <w:r>
        <w:rPr>
          <w:rFonts w:ascii="Times New Roman" w:hAnsi="Times New Roman" w:eastAsia="仿宋_GB2312"/>
          <w:sz w:val="32"/>
          <w:szCs w:val="32"/>
        </w:rPr>
        <w:t>.04</w:t>
      </w:r>
      <w:r>
        <w:rPr>
          <w:rFonts w:hint="eastAsia" w:ascii="Times New Roman" w:hAnsi="Times New Roman" w:eastAsia="仿宋_GB2312"/>
          <w:sz w:val="32"/>
          <w:szCs w:val="32"/>
        </w:rPr>
        <w:t>mg/kg，在香蕉中的最大残留限量为0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mg/kg，在辣椒中的最大残留限量为0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302F96E0">
      <w:pPr>
        <w:widowControl/>
        <w:suppressAutoHyphens/>
        <w:ind w:firstLine="640" w:firstLineChars="200"/>
        <w:rPr>
          <w:rFonts w:ascii="Times New Roman"/>
        </w:rPr>
      </w:pPr>
      <w:r>
        <w:rPr>
          <w:rFonts w:hint="eastAsia" w:ascii="Times New Roman" w:hAnsi="Times New Roman" w:eastAsia="仿宋_GB2312"/>
          <w:sz w:val="32"/>
          <w:szCs w:val="32"/>
        </w:rPr>
        <w:t>本阶段，“市抽”食品安全监督抽检发现有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仿宋_GB2312" w:hAnsi="仿宋_GB2312" w:eastAsia="仿宋_GB2312" w:cs="仿宋_GB2312"/>
          <w:color w:val="auto"/>
          <w:kern w:val="0"/>
          <w:sz w:val="32"/>
          <w:szCs w:val="32"/>
          <w:highlight w:val="none"/>
          <w:lang w:eastAsia="zh-CN"/>
        </w:rPr>
        <w:t>台农芒（小）</w:t>
      </w:r>
      <w:r>
        <w:rPr>
          <w:rFonts w:ascii="Times New Roman" w:hAnsi="Times New Roman" w:eastAsia="仿宋_GB2312"/>
          <w:sz w:val="32"/>
          <w:szCs w:val="32"/>
        </w:rPr>
        <w:t>，</w:t>
      </w:r>
      <w:r>
        <w:rPr>
          <w:rFonts w:hint="eastAsia" w:ascii="Times New Roman" w:hAnsi="Times New Roman" w:eastAsia="仿宋_GB2312"/>
          <w:sz w:val="32"/>
          <w:szCs w:val="32"/>
        </w:rPr>
        <w:t>1批次香蕉</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山东</w:t>
      </w:r>
      <w:r>
        <w:rPr>
          <w:rFonts w:hint="eastAsia" w:ascii="Times New Roman" w:hAnsi="Times New Roman" w:eastAsia="仿宋_GB2312"/>
          <w:sz w:val="32"/>
          <w:szCs w:val="32"/>
        </w:rPr>
        <w:t>姜中噻虫胺超标，原因可能是农户在种植过程中为快速控制虫害，加大用药量或未遵守采摘间隔期规定，致使上市销售的产品中残留量超标。</w:t>
      </w:r>
    </w:p>
    <w:p w14:paraId="3A0B1EE4">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四</w:t>
      </w:r>
      <w:r>
        <w:rPr>
          <w:rFonts w:hint="eastAsia" w:ascii="黑体" w:hAnsi="黑体" w:eastAsia="黑体"/>
        </w:rPr>
        <w:t>、镉(以Cd计)</w:t>
      </w:r>
    </w:p>
    <w:p w14:paraId="704284A6">
      <w:pPr>
        <w:pStyle w:val="2"/>
        <w:kinsoku w:val="0"/>
        <w:overflowPunct w:val="0"/>
        <w:spacing w:before="0"/>
        <w:ind w:left="0" w:firstLine="660" w:firstLineChars="200"/>
        <w:rPr>
          <w:rFonts w:ascii="Times New Roman"/>
        </w:rPr>
      </w:pPr>
      <w:r>
        <w:rPr>
          <w:rStyle w:val="24"/>
          <w:rFonts w:ascii="Arial" w:hAnsi="Arial" w:cs="Arial"/>
          <w:color w:val="192338"/>
          <w:spacing w:val="5"/>
          <w:shd w:val="clear" w:color="auto" w:fill="FFFFFF"/>
        </w:rPr>
        <w:t>镉是一种有毒重金属元素，广泛存在于自然界中，但并非人体必需元素。镉在食品中的存在主要是由于环境污染导致的食品链污染。</w:t>
      </w:r>
      <w:r>
        <w:rPr>
          <w:rFonts w:ascii="Arial" w:hAnsi="Arial" w:cs="Arial"/>
          <w:color w:val="192338"/>
          <w:spacing w:val="5"/>
          <w:shd w:val="clear" w:color="auto" w:fill="FFFFFF"/>
        </w:rPr>
        <w:t>镉主要蓄积在肾脏，损害肾近曲小管功能，导致蛋白尿、氨基酸尿、糖尿等症状，严重时影响肾功能</w:t>
      </w:r>
      <w:r>
        <w:rPr>
          <w:rFonts w:hint="eastAsia" w:ascii="Times New Roman"/>
        </w:rPr>
        <w:t>。</w:t>
      </w:r>
      <w:r>
        <w:rPr>
          <w:rFonts w:ascii="Arial" w:hAnsi="Arial" w:cs="Arial"/>
          <w:color w:val="192338"/>
          <w:spacing w:val="5"/>
          <w:shd w:val="clear" w:color="auto" w:fill="FFFFFF"/>
        </w:rPr>
        <w:t>镉对生殖系统也有毒性，可能影响生育能力，导致性功能障碍等。长期摄入镉可能导致骨质疏松、软化，甚至引发“痛痛病”，表现为骨骼疼痛、病理性骨折等</w:t>
      </w:r>
      <w:r>
        <w:rPr>
          <w:rFonts w:hint="eastAsia" w:ascii="Arial" w:hAnsi="Arial" w:cs="Arial"/>
          <w:color w:val="192338"/>
          <w:spacing w:val="5"/>
          <w:shd w:val="clear" w:color="auto" w:fill="FFFFFF"/>
        </w:rPr>
        <w:t>。</w:t>
      </w:r>
      <w:r>
        <w:rPr>
          <w:rFonts w:hint="eastAsia" w:ascii="Times New Roman"/>
        </w:rPr>
        <w:t>根据《食品安全国家标准 食品中污染物限量》（GB 276</w:t>
      </w:r>
      <w:r>
        <w:rPr>
          <w:rFonts w:ascii="Times New Roman"/>
        </w:rPr>
        <w:t>2</w:t>
      </w:r>
      <w:r>
        <w:rPr>
          <w:rFonts w:hint="eastAsia" w:ascii="Times New Roman"/>
        </w:rPr>
        <w:t>）中规定，镉(以Cd计)</w:t>
      </w:r>
      <w:r>
        <w:rPr>
          <w:rFonts w:ascii="Times New Roman"/>
        </w:rPr>
        <w:t>在</w:t>
      </w:r>
      <w:r>
        <w:rPr>
          <w:rFonts w:hint="eastAsia" w:ascii="Times New Roman"/>
        </w:rPr>
        <w:t>韭菜</w:t>
      </w:r>
      <w:r>
        <w:rPr>
          <w:rFonts w:ascii="Times New Roman"/>
        </w:rPr>
        <w:t>中</w:t>
      </w:r>
      <w:r>
        <w:rPr>
          <w:rFonts w:hint="eastAsia" w:ascii="Times New Roman"/>
        </w:rPr>
        <w:t>检测值不得超过0</w:t>
      </w:r>
      <w:r>
        <w:rPr>
          <w:rFonts w:ascii="Times New Roman"/>
        </w:rPr>
        <w:t>.05mg/kg</w:t>
      </w:r>
      <w:r>
        <w:rPr>
          <w:rFonts w:hint="eastAsia" w:ascii="Times New Roman"/>
        </w:rPr>
        <w:t>，在姜中检测值不得超过0</w:t>
      </w:r>
      <w:r>
        <w:rPr>
          <w:rFonts w:ascii="Times New Roman"/>
        </w:rPr>
        <w:t>.1mg/kg</w:t>
      </w:r>
      <w:r>
        <w:rPr>
          <w:rFonts w:hint="eastAsia" w:ascii="Times New Roman"/>
        </w:rPr>
        <w:t>。</w:t>
      </w:r>
    </w:p>
    <w:p w14:paraId="50A18890">
      <w:pPr>
        <w:pStyle w:val="2"/>
        <w:kinsoku w:val="0"/>
        <w:overflowPunct w:val="0"/>
        <w:spacing w:before="0"/>
        <w:ind w:left="0" w:firstLine="640" w:firstLineChars="200"/>
        <w:rPr>
          <w:rFonts w:ascii="Arial" w:hAnsi="Arial" w:cs="Arial"/>
          <w:color w:val="192338"/>
          <w:spacing w:val="5"/>
          <w:shd w:val="clear" w:color="auto" w:fill="FFFFFF"/>
        </w:rPr>
      </w:pPr>
      <w:r>
        <w:rPr>
          <w:rFonts w:hint="eastAsia" w:ascii="Times New Roman"/>
        </w:rPr>
        <w:t>本</w:t>
      </w:r>
      <w:r>
        <w:rPr>
          <w:rFonts w:ascii="Times New Roman"/>
        </w:rPr>
        <w:t>阶段</w:t>
      </w:r>
      <w:r>
        <w:rPr>
          <w:rFonts w:hint="eastAsia" w:ascii="Times New Roman"/>
        </w:rPr>
        <w:t>，“市抽”食品安全监督抽检发现有</w:t>
      </w:r>
      <w:r>
        <w:rPr>
          <w:rFonts w:ascii="Times New Roman"/>
        </w:rPr>
        <w:t>1</w:t>
      </w:r>
      <w:r>
        <w:rPr>
          <w:rFonts w:hint="eastAsia" w:ascii="Times New Roman"/>
        </w:rPr>
        <w:t>批次韭菜</w:t>
      </w:r>
      <w:r>
        <w:rPr>
          <w:rFonts w:ascii="Times New Roman"/>
        </w:rPr>
        <w:t>中</w:t>
      </w:r>
      <w:r>
        <w:rPr>
          <w:rStyle w:val="24"/>
          <w:rFonts w:ascii="Arial" w:hAnsi="Arial" w:cs="Arial"/>
          <w:color w:val="192338"/>
          <w:spacing w:val="5"/>
          <w:shd w:val="clear" w:color="auto" w:fill="FFFFFF"/>
        </w:rPr>
        <w:t>镉</w:t>
      </w:r>
      <w:r>
        <w:rPr>
          <w:rStyle w:val="24"/>
          <w:rFonts w:hint="eastAsia" w:ascii="Arial" w:hAnsi="Arial" w:cs="Arial"/>
          <w:color w:val="192338"/>
          <w:spacing w:val="5"/>
          <w:shd w:val="clear" w:color="auto" w:fill="FFFFFF"/>
        </w:rPr>
        <w:t>超标</w:t>
      </w:r>
      <w:r>
        <w:rPr>
          <w:rFonts w:hint="eastAsia" w:ascii="Times New Roman"/>
        </w:rPr>
        <w:t>。超标</w:t>
      </w:r>
      <w:r>
        <w:rPr>
          <w:rFonts w:ascii="Times New Roman"/>
        </w:rPr>
        <w:t>原因</w:t>
      </w:r>
      <w:r>
        <w:rPr>
          <w:rFonts w:hint="eastAsia" w:ascii="Times New Roman"/>
        </w:rPr>
        <w:t>可能是工业污染，</w:t>
      </w:r>
      <w:r>
        <w:rPr>
          <w:rFonts w:ascii="Arial" w:hAnsi="Arial" w:cs="Arial"/>
          <w:color w:val="192338"/>
          <w:spacing w:val="5"/>
          <w:shd w:val="clear" w:color="auto" w:fill="FFFFFF"/>
        </w:rPr>
        <w:t>含镉的工业废水、废气排放污染土壤、水源，进而污染农作物和水产品</w:t>
      </w:r>
      <w:r>
        <w:rPr>
          <w:rFonts w:hint="eastAsia" w:ascii="Times New Roman"/>
        </w:rPr>
        <w:t>。或者</w:t>
      </w:r>
      <w:r>
        <w:rPr>
          <w:rFonts w:ascii="Arial" w:hAnsi="Arial" w:cs="Arial"/>
          <w:color w:val="192338"/>
          <w:spacing w:val="5"/>
          <w:shd w:val="clear" w:color="auto" w:fill="FFFFFF"/>
        </w:rPr>
        <w:t>施用含镉的化肥和农药也可能导致农作物镉含量增加</w:t>
      </w:r>
      <w:r>
        <w:rPr>
          <w:rFonts w:hint="eastAsia" w:ascii="Arial" w:hAnsi="Arial" w:cs="Arial"/>
          <w:color w:val="192338"/>
          <w:spacing w:val="5"/>
          <w:shd w:val="clear" w:color="auto" w:fill="FFFFFF"/>
        </w:rPr>
        <w:t>。</w:t>
      </w:r>
    </w:p>
    <w:p w14:paraId="3B6C126D">
      <w:pPr>
        <w:pStyle w:val="2"/>
        <w:kinsoku w:val="0"/>
        <w:overflowPunct w:val="0"/>
        <w:spacing w:before="0"/>
        <w:ind w:left="0" w:firstLine="640" w:firstLineChars="200"/>
        <w:rPr>
          <w:rFonts w:hint="eastAsia" w:ascii="黑体" w:hAnsi="黑体" w:eastAsia="黑体"/>
        </w:rPr>
      </w:pPr>
      <w:r>
        <w:rPr>
          <w:rFonts w:hint="eastAsia" w:ascii="黑体" w:hAnsi="黑体" w:eastAsia="黑体"/>
          <w:lang w:eastAsia="zh-CN"/>
        </w:rPr>
        <w:t>五</w:t>
      </w:r>
      <w:r>
        <w:rPr>
          <w:rFonts w:hint="eastAsia" w:ascii="黑体" w:hAnsi="黑体" w:eastAsia="黑体"/>
        </w:rPr>
        <w:t>、铅(以Pb计)</w:t>
      </w:r>
    </w:p>
    <w:p w14:paraId="73E62597">
      <w:pPr>
        <w:pStyle w:val="2"/>
        <w:kinsoku w:val="0"/>
        <w:overflowPunct w:val="0"/>
        <w:spacing w:before="0"/>
        <w:ind w:left="0" w:firstLine="660" w:firstLineChars="200"/>
        <w:rPr>
          <w:rFonts w:ascii="Times New Roman"/>
        </w:rPr>
      </w:pPr>
      <w:r>
        <w:rPr>
          <w:rStyle w:val="24"/>
          <w:rFonts w:hint="eastAsia" w:ascii="Arial" w:hAnsi="Arial" w:cs="Arial"/>
          <w:color w:val="192338"/>
          <w:spacing w:val="5"/>
          <w:shd w:val="clear" w:color="auto" w:fill="FFFFFF"/>
        </w:rPr>
        <w:t>铅(以Pb计)</w:t>
      </w:r>
      <w:r>
        <w:rPr>
          <w:rStyle w:val="24"/>
          <w:rFonts w:ascii="Arial" w:hAnsi="Arial" w:cs="Arial"/>
          <w:color w:val="192338"/>
          <w:spacing w:val="5"/>
          <w:shd w:val="clear" w:color="auto" w:fill="FFFFFF"/>
        </w:rPr>
        <w:t>是一种有毒重金属元素，广泛存在于自然界中，铅对中枢神经系统和周围神经系统都有损害作用，尤其是对儿童的影响更为严重，可能导致智力低下、学习障碍和行为异常。</w:t>
      </w:r>
      <w:r>
        <w:rPr>
          <w:rFonts w:ascii="Arial" w:hAnsi="Arial" w:cs="Arial"/>
          <w:color w:val="192338"/>
          <w:spacing w:val="5"/>
          <w:shd w:val="clear" w:color="auto" w:fill="FFFFFF"/>
        </w:rPr>
        <w:t>铅可抑制血红蛋白合成，引起贫血，表现为疲劳、乏力等症状。</w:t>
      </w:r>
      <w:r>
        <w:rPr>
          <w:rStyle w:val="24"/>
          <w:rFonts w:ascii="Arial" w:hAnsi="Arial" w:cs="Arial"/>
          <w:color w:val="192338"/>
          <w:spacing w:val="5"/>
          <w:shd w:val="clear" w:color="auto" w:fill="FFFFFF"/>
        </w:rPr>
        <w:t>成人长期暴露则可能出现神经衰弱、周围神经炎等症状。</w:t>
      </w:r>
      <w:r>
        <w:rPr>
          <w:rFonts w:hint="eastAsia" w:ascii="Times New Roman"/>
        </w:rPr>
        <w:t>根据《食品安全国家标准 食品中污染物限量》（GB 276</w:t>
      </w:r>
      <w:r>
        <w:rPr>
          <w:rFonts w:ascii="Times New Roman"/>
        </w:rPr>
        <w:t>2</w:t>
      </w:r>
      <w:r>
        <w:rPr>
          <w:rFonts w:hint="eastAsia" w:ascii="Times New Roman"/>
        </w:rPr>
        <w:t>）中规定，</w:t>
      </w:r>
      <w:r>
        <w:rPr>
          <w:rStyle w:val="24"/>
          <w:rFonts w:hint="eastAsia" w:ascii="Arial" w:hAnsi="Arial" w:cs="Arial"/>
          <w:color w:val="192338"/>
          <w:spacing w:val="5"/>
          <w:shd w:val="clear" w:color="auto" w:fill="FFFFFF"/>
        </w:rPr>
        <w:t>铅(以Pb计)</w:t>
      </w:r>
      <w:r>
        <w:rPr>
          <w:rFonts w:hint="eastAsia" w:ascii="Times New Roman"/>
        </w:rPr>
        <w:t>在姜中检测值不得超过0</w:t>
      </w:r>
      <w:r>
        <w:rPr>
          <w:rFonts w:ascii="Times New Roman"/>
        </w:rPr>
        <w:t>.2 mg/kg</w:t>
      </w:r>
      <w:r>
        <w:rPr>
          <w:rFonts w:hint="eastAsia" w:ascii="Times New Roman"/>
        </w:rPr>
        <w:t>。</w:t>
      </w:r>
    </w:p>
    <w:p w14:paraId="30BDE5BA">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，“市抽”食品安全监督抽检发现有1批次</w:t>
      </w:r>
      <w:r>
        <w:rPr>
          <w:rFonts w:hint="eastAsia" w:ascii="Times New Roman"/>
          <w:lang w:eastAsia="zh-CN"/>
        </w:rPr>
        <w:t>小黄</w:t>
      </w:r>
      <w:r>
        <w:rPr>
          <w:rFonts w:hint="eastAsia" w:ascii="Times New Roman"/>
        </w:rPr>
        <w:t>姜</w:t>
      </w:r>
      <w:r>
        <w:rPr>
          <w:rFonts w:ascii="Times New Roman"/>
        </w:rPr>
        <w:t>中</w:t>
      </w:r>
      <w:r>
        <w:rPr>
          <w:rStyle w:val="24"/>
          <w:rFonts w:hint="eastAsia" w:ascii="Arial" w:hAnsi="Arial" w:cs="Arial"/>
          <w:color w:val="192338"/>
          <w:spacing w:val="5"/>
          <w:shd w:val="clear" w:color="auto" w:fill="FFFFFF"/>
        </w:rPr>
        <w:t>铅(以Pb计)超标</w:t>
      </w:r>
      <w:r>
        <w:rPr>
          <w:rFonts w:hint="eastAsia" w:ascii="Times New Roman"/>
        </w:rPr>
        <w:t>。超标</w:t>
      </w:r>
      <w:r>
        <w:rPr>
          <w:rFonts w:ascii="Times New Roman"/>
        </w:rPr>
        <w:t>原因</w:t>
      </w:r>
      <w:r>
        <w:rPr>
          <w:rFonts w:hint="eastAsia" w:ascii="Times New Roman"/>
        </w:rPr>
        <w:t>可能是</w:t>
      </w:r>
      <w:r>
        <w:rPr>
          <w:rFonts w:ascii="Times New Roman"/>
        </w:rPr>
        <w:t>环境污染导致的食品链污染。以及</w:t>
      </w:r>
      <w:r>
        <w:rPr>
          <w:rFonts w:hint="eastAsia" w:ascii="Times New Roman"/>
        </w:rPr>
        <w:t>农业生产活动中使用含铅的农药、化肥和灌溉水可能导致农作物直接吸收铅导致铅超标。</w:t>
      </w:r>
    </w:p>
    <w:p w14:paraId="591E74EE">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六</w:t>
      </w:r>
      <w:r>
        <w:rPr>
          <w:rFonts w:hint="eastAsia" w:ascii="黑体" w:hAnsi="黑体" w:eastAsia="黑体"/>
        </w:rPr>
        <w:t>、二氧化硫残留量</w:t>
      </w:r>
    </w:p>
    <w:p w14:paraId="364310D1">
      <w:pPr>
        <w:pStyle w:val="2"/>
        <w:kinsoku w:val="0"/>
        <w:overflowPunct w:val="0"/>
        <w:spacing w:before="0"/>
        <w:ind w:left="0" w:firstLine="660" w:firstLineChars="200"/>
        <w:rPr>
          <w:rFonts w:ascii="Times New Roman"/>
        </w:rPr>
      </w:pPr>
      <w:r>
        <w:rPr>
          <w:rStyle w:val="24"/>
          <w:rFonts w:ascii="Arial" w:hAnsi="Arial" w:cs="Arial"/>
          <w:color w:val="192338"/>
          <w:spacing w:val="5"/>
          <w:shd w:val="clear" w:color="auto" w:fill="FFFFFF"/>
        </w:rPr>
        <w:t>二氧化硫（SO</w:t>
      </w:r>
      <w:r>
        <w:rPr>
          <w:rStyle w:val="24"/>
          <w:rFonts w:ascii="Cambria Math" w:hAnsi="Cambria Math" w:cs="Cambria Math"/>
          <w:color w:val="192338"/>
          <w:spacing w:val="5"/>
          <w:shd w:val="clear" w:color="auto" w:fill="FFFFFF"/>
        </w:rPr>
        <w:t>₂</w:t>
      </w:r>
      <w:r>
        <w:rPr>
          <w:rStyle w:val="24"/>
          <w:rFonts w:ascii="Arial" w:hAnsi="Arial" w:cs="Arial"/>
          <w:color w:val="192338"/>
          <w:spacing w:val="5"/>
          <w:shd w:val="clear" w:color="auto" w:fill="FFFFFF"/>
        </w:rPr>
        <w:t>）是一种常见的食品添加剂，主要用于防腐、漂白和抗氧化，以延长食品的保质期并改善其外观。在食品加工中，二氧化硫通常以气体形式使用，也可以通过添加亚硫酸盐类物质（如亚硫酸钠、焦亚硫酸钠等）产生。当二氧化硫溶解在水中时形成亚硫酸，对食品中的微生物有抑制作用。</w:t>
      </w:r>
      <w:r>
        <w:rPr>
          <w:rFonts w:ascii="Arial" w:hAnsi="Arial" w:cs="Arial"/>
          <w:color w:val="192338"/>
          <w:spacing w:val="5"/>
          <w:shd w:val="clear" w:color="auto" w:fill="FFFFFF"/>
        </w:rPr>
        <w:t>短期内大量摄入二氧化硫残留量超标的食品，可能引起急性中毒，表现为咳嗽、咽喉肿痛、恶心、呕吐、腹痛、腹泻等症状，严重时可导致呼吸困难、昏迷等</w:t>
      </w:r>
      <w:r>
        <w:rPr>
          <w:rFonts w:hint="eastAsia" w:ascii="Arial" w:hAnsi="Arial" w:cs="Arial"/>
          <w:color w:val="192338"/>
          <w:spacing w:val="5"/>
          <w:shd w:val="clear" w:color="auto" w:fill="FFFFFF"/>
        </w:rPr>
        <w:t>，</w:t>
      </w:r>
      <w:r>
        <w:rPr>
          <w:rFonts w:ascii="Arial" w:hAnsi="Arial" w:cs="Arial"/>
          <w:color w:val="192338"/>
          <w:spacing w:val="5"/>
          <w:shd w:val="clear" w:color="auto" w:fill="FFFFFF"/>
        </w:rPr>
        <w:t>长期低剂量暴露于二氧化硫残留量超标的食品，可能对人体的呼吸系统、消化系统、肝脏和肾脏等器官造成潜在损害，增加患慢性疾病的风险。</w:t>
      </w:r>
      <w:r>
        <w:rPr>
          <w:rFonts w:hint="eastAsia" w:ascii="Times New Roman"/>
        </w:rPr>
        <w:t>根据《食品安全国家标准 食品添加剂使用标准》（GB 2760）中规定，二氧化硫</w:t>
      </w:r>
      <w:r>
        <w:rPr>
          <w:rFonts w:ascii="Times New Roman"/>
        </w:rPr>
        <w:t>在</w:t>
      </w:r>
      <w:r>
        <w:rPr>
          <w:rFonts w:hint="eastAsia" w:ascii="Times New Roman"/>
        </w:rPr>
        <w:t>辣椒、花椒、辣椒粉、花椒粉</w:t>
      </w:r>
      <w:r>
        <w:rPr>
          <w:rFonts w:ascii="Times New Roman"/>
        </w:rPr>
        <w:t>中</w:t>
      </w:r>
      <w:r>
        <w:rPr>
          <w:rFonts w:hint="eastAsia" w:ascii="Times New Roman"/>
        </w:rPr>
        <w:t>不得使用，在酱腌菜中检测值不得超过0</w:t>
      </w:r>
      <w:r>
        <w:rPr>
          <w:rFonts w:ascii="Times New Roman"/>
        </w:rPr>
        <w:t>.1</w:t>
      </w:r>
      <w:r>
        <w:t xml:space="preserve"> </w:t>
      </w:r>
      <w:r>
        <w:rPr>
          <w:rFonts w:ascii="Times New Roman"/>
        </w:rPr>
        <w:t>g/kg</w:t>
      </w:r>
      <w:r>
        <w:rPr>
          <w:rFonts w:hint="eastAsia" w:ascii="Times New Roman"/>
        </w:rPr>
        <w:t>。</w:t>
      </w:r>
    </w:p>
    <w:p w14:paraId="617273DA">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w:t>
      </w:r>
      <w:r>
        <w:rPr>
          <w:rFonts w:hint="eastAsia" w:ascii="Times New Roman"/>
          <w:lang w:val="en-US" w:eastAsia="zh-CN"/>
        </w:rPr>
        <w:t>1</w:t>
      </w:r>
      <w:r>
        <w:rPr>
          <w:rFonts w:hint="eastAsia" w:ascii="Times New Roman"/>
        </w:rPr>
        <w:t>批次</w:t>
      </w:r>
      <w:r>
        <w:rPr>
          <w:rFonts w:hint="eastAsia" w:ascii="仿宋_GB2312" w:hAnsi="宋体" w:eastAsia="仿宋_GB2312" w:cs="宋体"/>
          <w:color w:val="auto"/>
          <w:kern w:val="0"/>
          <w:sz w:val="32"/>
          <w:szCs w:val="32"/>
          <w:highlight w:val="none"/>
          <w:lang w:eastAsia="zh-CN"/>
        </w:rPr>
        <w:t>泡椒</w:t>
      </w:r>
      <w:r>
        <w:rPr>
          <w:rFonts w:hint="eastAsia" w:hAnsi="宋体" w:cs="宋体"/>
          <w:color w:val="auto"/>
          <w:kern w:val="0"/>
          <w:sz w:val="32"/>
          <w:szCs w:val="32"/>
          <w:highlight w:val="none"/>
          <w:lang w:eastAsia="zh-CN"/>
        </w:rPr>
        <w:t>，</w:t>
      </w:r>
      <w:r>
        <w:rPr>
          <w:rFonts w:hint="eastAsia" w:hAnsi="宋体" w:cs="宋体"/>
          <w:color w:val="auto"/>
          <w:kern w:val="0"/>
          <w:sz w:val="32"/>
          <w:szCs w:val="32"/>
          <w:highlight w:val="none"/>
          <w:lang w:val="en-US" w:eastAsia="zh-CN"/>
        </w:rPr>
        <w:t>1批次</w:t>
      </w:r>
      <w:r>
        <w:rPr>
          <w:rFonts w:hint="eastAsia" w:ascii="仿宋_GB2312" w:hAnsi="宋体" w:eastAsia="仿宋_GB2312" w:cs="宋体"/>
          <w:color w:val="auto"/>
          <w:kern w:val="0"/>
          <w:sz w:val="32"/>
          <w:szCs w:val="32"/>
          <w:highlight w:val="none"/>
          <w:lang w:eastAsia="zh-CN"/>
        </w:rPr>
        <w:t>细辣椒粉</w:t>
      </w:r>
      <w:r>
        <w:rPr>
          <w:rFonts w:ascii="Times New Roman"/>
        </w:rPr>
        <w:t>不合格</w:t>
      </w:r>
      <w:r>
        <w:rPr>
          <w:rFonts w:hint="eastAsia" w:ascii="Times New Roman"/>
        </w:rPr>
        <w:t>。不合格</w:t>
      </w:r>
      <w:r>
        <w:rPr>
          <w:rFonts w:ascii="Times New Roman"/>
        </w:rPr>
        <w:t>的原因</w:t>
      </w:r>
      <w:r>
        <w:rPr>
          <w:rFonts w:hint="eastAsia" w:ascii="Times New Roman"/>
        </w:rPr>
        <w:t>可能是企业</w:t>
      </w:r>
      <w:r>
        <w:rPr>
          <w:rFonts w:ascii="Arial" w:hAnsi="Arial" w:cs="Arial"/>
          <w:color w:val="192338"/>
          <w:spacing w:val="5"/>
          <w:shd w:val="clear" w:color="auto" w:fill="FFFFFF"/>
        </w:rPr>
        <w:t>为了改善食品的外观、保质期或降低成本，违规添加超过规定量的含硫类食品添加剂</w:t>
      </w:r>
      <w:r>
        <w:rPr>
          <w:rFonts w:hint="eastAsia" w:ascii="Times New Roman"/>
        </w:rPr>
        <w:t>，或</w:t>
      </w:r>
      <w:r>
        <w:rPr>
          <w:rFonts w:ascii="Arial" w:hAnsi="Arial" w:cs="Arial"/>
          <w:color w:val="192338"/>
          <w:spacing w:val="5"/>
          <w:shd w:val="clear" w:color="auto" w:fill="FFFFFF"/>
        </w:rPr>
        <w:t>在生产过程中，对添加剂的用量控制不准确或搅拌不均匀导致部分产品中二氧化硫残留量超标</w:t>
      </w:r>
      <w:r>
        <w:rPr>
          <w:rFonts w:hint="eastAsia" w:ascii="Arial" w:hAnsi="Arial" w:cs="Arial"/>
          <w:color w:val="192338"/>
          <w:spacing w:val="5"/>
          <w:shd w:val="clear" w:color="auto" w:fill="FFFFFF"/>
        </w:rPr>
        <w:t>，或者</w:t>
      </w:r>
      <w:r>
        <w:rPr>
          <w:rFonts w:ascii="Arial" w:hAnsi="Arial" w:cs="Arial"/>
          <w:color w:val="192338"/>
          <w:spacing w:val="5"/>
          <w:shd w:val="clear" w:color="auto" w:fill="FFFFFF"/>
        </w:rPr>
        <w:t>采用硫磺熏蒸漂白</w:t>
      </w:r>
      <w:r>
        <w:rPr>
          <w:rFonts w:hint="eastAsia" w:ascii="Arial" w:hAnsi="Arial" w:cs="Arial"/>
          <w:color w:val="192338"/>
          <w:spacing w:val="5"/>
          <w:shd w:val="clear" w:color="auto" w:fill="FFFFFF"/>
        </w:rPr>
        <w:t>等</w:t>
      </w:r>
      <w:r>
        <w:rPr>
          <w:rFonts w:ascii="Arial" w:hAnsi="Arial" w:cs="Arial"/>
          <w:color w:val="192338"/>
          <w:spacing w:val="5"/>
          <w:shd w:val="clear" w:color="auto" w:fill="FFFFFF"/>
        </w:rPr>
        <w:t>传统工艺制作，因操作不规范导致二氧化硫残留量超标</w:t>
      </w:r>
      <w:r>
        <w:rPr>
          <w:rFonts w:hint="eastAsia" w:ascii="Arial" w:hAnsi="Arial" w:cs="Arial"/>
          <w:color w:val="192338"/>
          <w:spacing w:val="5"/>
          <w:shd w:val="clear" w:color="auto" w:fill="FFFFFF"/>
        </w:rPr>
        <w:t>。</w:t>
      </w:r>
    </w:p>
    <w:p w14:paraId="0CA86726">
      <w:pPr>
        <w:pStyle w:val="2"/>
        <w:kinsoku w:val="0"/>
        <w:overflowPunct w:val="0"/>
        <w:spacing w:before="0"/>
        <w:ind w:left="0" w:firstLine="640" w:firstLineChars="200"/>
        <w:rPr>
          <w:rFonts w:hint="eastAsia" w:ascii="黑体" w:hAnsi="黑体" w:eastAsia="黑体"/>
        </w:rPr>
      </w:pP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50B2B3F0">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6CF3DA4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DE2MDc0MWJmNDUzNTg5MzIzOTRhMjAwODg5ZGQifQ=="/>
  </w:docVars>
  <w:rsids>
    <w:rsidRoot w:val="0096133C"/>
    <w:rsid w:val="00000ACF"/>
    <w:rsid w:val="0001304C"/>
    <w:rsid w:val="00023A56"/>
    <w:rsid w:val="00025132"/>
    <w:rsid w:val="00045BD3"/>
    <w:rsid w:val="000469B1"/>
    <w:rsid w:val="000469E4"/>
    <w:rsid w:val="000471A1"/>
    <w:rsid w:val="00050BCE"/>
    <w:rsid w:val="00052C54"/>
    <w:rsid w:val="00062450"/>
    <w:rsid w:val="00067FE0"/>
    <w:rsid w:val="000A6D86"/>
    <w:rsid w:val="000B0679"/>
    <w:rsid w:val="000B59B3"/>
    <w:rsid w:val="000C3D8D"/>
    <w:rsid w:val="000C6447"/>
    <w:rsid w:val="000D6F70"/>
    <w:rsid w:val="000E5043"/>
    <w:rsid w:val="000E5593"/>
    <w:rsid w:val="000E7E33"/>
    <w:rsid w:val="000F1739"/>
    <w:rsid w:val="000F6BC0"/>
    <w:rsid w:val="0010028C"/>
    <w:rsid w:val="00106BE5"/>
    <w:rsid w:val="00124552"/>
    <w:rsid w:val="00126F60"/>
    <w:rsid w:val="00131279"/>
    <w:rsid w:val="00135202"/>
    <w:rsid w:val="0013647E"/>
    <w:rsid w:val="00140A01"/>
    <w:rsid w:val="00152F66"/>
    <w:rsid w:val="00153FD6"/>
    <w:rsid w:val="00156B63"/>
    <w:rsid w:val="00167EDD"/>
    <w:rsid w:val="001775EB"/>
    <w:rsid w:val="00184A22"/>
    <w:rsid w:val="00186D0A"/>
    <w:rsid w:val="00186D8B"/>
    <w:rsid w:val="00187BF0"/>
    <w:rsid w:val="0019241C"/>
    <w:rsid w:val="00192F35"/>
    <w:rsid w:val="0019320E"/>
    <w:rsid w:val="001944A6"/>
    <w:rsid w:val="001A62ED"/>
    <w:rsid w:val="001A79D4"/>
    <w:rsid w:val="001B23FE"/>
    <w:rsid w:val="001B4554"/>
    <w:rsid w:val="001C2AD6"/>
    <w:rsid w:val="001D2059"/>
    <w:rsid w:val="001D2988"/>
    <w:rsid w:val="001E41AE"/>
    <w:rsid w:val="001F4671"/>
    <w:rsid w:val="001F57D2"/>
    <w:rsid w:val="00201290"/>
    <w:rsid w:val="00206A2D"/>
    <w:rsid w:val="00211E4C"/>
    <w:rsid w:val="00213EC3"/>
    <w:rsid w:val="00216ADD"/>
    <w:rsid w:val="002204A3"/>
    <w:rsid w:val="00226322"/>
    <w:rsid w:val="002402D7"/>
    <w:rsid w:val="00244965"/>
    <w:rsid w:val="0024757B"/>
    <w:rsid w:val="0025140A"/>
    <w:rsid w:val="00251DD5"/>
    <w:rsid w:val="00253D24"/>
    <w:rsid w:val="00253EB6"/>
    <w:rsid w:val="0025700E"/>
    <w:rsid w:val="00267735"/>
    <w:rsid w:val="00283D4D"/>
    <w:rsid w:val="00287BDB"/>
    <w:rsid w:val="00292D85"/>
    <w:rsid w:val="00294C79"/>
    <w:rsid w:val="00295353"/>
    <w:rsid w:val="00295D01"/>
    <w:rsid w:val="002B261E"/>
    <w:rsid w:val="002B2CDB"/>
    <w:rsid w:val="002B7473"/>
    <w:rsid w:val="002C49D5"/>
    <w:rsid w:val="002C4D13"/>
    <w:rsid w:val="002C4DBB"/>
    <w:rsid w:val="002C511C"/>
    <w:rsid w:val="002D04C5"/>
    <w:rsid w:val="002D0ED5"/>
    <w:rsid w:val="002D2A5B"/>
    <w:rsid w:val="002D30D8"/>
    <w:rsid w:val="002D5A3B"/>
    <w:rsid w:val="002E1D1A"/>
    <w:rsid w:val="002E4E45"/>
    <w:rsid w:val="002F2119"/>
    <w:rsid w:val="002F39FE"/>
    <w:rsid w:val="002F4A2F"/>
    <w:rsid w:val="002F6502"/>
    <w:rsid w:val="00300A4E"/>
    <w:rsid w:val="003017E1"/>
    <w:rsid w:val="00303449"/>
    <w:rsid w:val="00310FBC"/>
    <w:rsid w:val="00311097"/>
    <w:rsid w:val="00312117"/>
    <w:rsid w:val="00313AEE"/>
    <w:rsid w:val="003216C5"/>
    <w:rsid w:val="0033118D"/>
    <w:rsid w:val="0033212A"/>
    <w:rsid w:val="00334813"/>
    <w:rsid w:val="003421B6"/>
    <w:rsid w:val="0034293F"/>
    <w:rsid w:val="00355161"/>
    <w:rsid w:val="00357E67"/>
    <w:rsid w:val="0036336D"/>
    <w:rsid w:val="0036412C"/>
    <w:rsid w:val="00374CE4"/>
    <w:rsid w:val="00381C83"/>
    <w:rsid w:val="003A0BD7"/>
    <w:rsid w:val="003A26C5"/>
    <w:rsid w:val="003A579D"/>
    <w:rsid w:val="003B261B"/>
    <w:rsid w:val="003C3275"/>
    <w:rsid w:val="003D0C37"/>
    <w:rsid w:val="003D0FBB"/>
    <w:rsid w:val="003D1A8F"/>
    <w:rsid w:val="003D4D9E"/>
    <w:rsid w:val="003D4E61"/>
    <w:rsid w:val="003D517F"/>
    <w:rsid w:val="003E347A"/>
    <w:rsid w:val="003F2F21"/>
    <w:rsid w:val="00405157"/>
    <w:rsid w:val="004057BE"/>
    <w:rsid w:val="004160F7"/>
    <w:rsid w:val="004243A4"/>
    <w:rsid w:val="00425EBA"/>
    <w:rsid w:val="00427E1C"/>
    <w:rsid w:val="00427EE3"/>
    <w:rsid w:val="00440A98"/>
    <w:rsid w:val="00441A08"/>
    <w:rsid w:val="00453913"/>
    <w:rsid w:val="0045392B"/>
    <w:rsid w:val="00461A46"/>
    <w:rsid w:val="004707A3"/>
    <w:rsid w:val="00472F13"/>
    <w:rsid w:val="004734C7"/>
    <w:rsid w:val="00473C59"/>
    <w:rsid w:val="00486498"/>
    <w:rsid w:val="00494C58"/>
    <w:rsid w:val="004A2FA7"/>
    <w:rsid w:val="004A73BB"/>
    <w:rsid w:val="004B0C79"/>
    <w:rsid w:val="004C1592"/>
    <w:rsid w:val="004C6619"/>
    <w:rsid w:val="004D0EFA"/>
    <w:rsid w:val="004D40F5"/>
    <w:rsid w:val="004D5D6D"/>
    <w:rsid w:val="004E7143"/>
    <w:rsid w:val="0050640B"/>
    <w:rsid w:val="00506ED4"/>
    <w:rsid w:val="005115B9"/>
    <w:rsid w:val="00511B10"/>
    <w:rsid w:val="0052374F"/>
    <w:rsid w:val="00526CD5"/>
    <w:rsid w:val="00527BA1"/>
    <w:rsid w:val="00530A41"/>
    <w:rsid w:val="0053260D"/>
    <w:rsid w:val="00561A6F"/>
    <w:rsid w:val="00562611"/>
    <w:rsid w:val="0056559B"/>
    <w:rsid w:val="00571284"/>
    <w:rsid w:val="00574EA6"/>
    <w:rsid w:val="00574FF1"/>
    <w:rsid w:val="00582FC3"/>
    <w:rsid w:val="00596A46"/>
    <w:rsid w:val="005A0096"/>
    <w:rsid w:val="005A5309"/>
    <w:rsid w:val="005A78E2"/>
    <w:rsid w:val="005B36AD"/>
    <w:rsid w:val="005B4F48"/>
    <w:rsid w:val="005B7F57"/>
    <w:rsid w:val="005C4C57"/>
    <w:rsid w:val="005D0458"/>
    <w:rsid w:val="005D3D6B"/>
    <w:rsid w:val="005D68C8"/>
    <w:rsid w:val="005E0EFC"/>
    <w:rsid w:val="005F11AA"/>
    <w:rsid w:val="005F291C"/>
    <w:rsid w:val="005F2C9E"/>
    <w:rsid w:val="005F5280"/>
    <w:rsid w:val="005F792F"/>
    <w:rsid w:val="00602D99"/>
    <w:rsid w:val="00612E67"/>
    <w:rsid w:val="00621DE9"/>
    <w:rsid w:val="00622DFA"/>
    <w:rsid w:val="00624AE9"/>
    <w:rsid w:val="0064522A"/>
    <w:rsid w:val="00647314"/>
    <w:rsid w:val="00655AC9"/>
    <w:rsid w:val="0065665C"/>
    <w:rsid w:val="006568FB"/>
    <w:rsid w:val="00657F7F"/>
    <w:rsid w:val="00664228"/>
    <w:rsid w:val="006645A8"/>
    <w:rsid w:val="00664C1C"/>
    <w:rsid w:val="00664EF9"/>
    <w:rsid w:val="00666E71"/>
    <w:rsid w:val="00673B5D"/>
    <w:rsid w:val="006817D3"/>
    <w:rsid w:val="00681B01"/>
    <w:rsid w:val="00687DC8"/>
    <w:rsid w:val="006911AA"/>
    <w:rsid w:val="00691C23"/>
    <w:rsid w:val="0069379B"/>
    <w:rsid w:val="00694A20"/>
    <w:rsid w:val="006961E8"/>
    <w:rsid w:val="006A1066"/>
    <w:rsid w:val="006A708B"/>
    <w:rsid w:val="006A7872"/>
    <w:rsid w:val="006C139F"/>
    <w:rsid w:val="006D392E"/>
    <w:rsid w:val="006E6803"/>
    <w:rsid w:val="006F4980"/>
    <w:rsid w:val="007030D8"/>
    <w:rsid w:val="007045D5"/>
    <w:rsid w:val="0071636B"/>
    <w:rsid w:val="00716DCA"/>
    <w:rsid w:val="00722DA2"/>
    <w:rsid w:val="0073062A"/>
    <w:rsid w:val="007348FE"/>
    <w:rsid w:val="00745FF7"/>
    <w:rsid w:val="00751C60"/>
    <w:rsid w:val="0075253F"/>
    <w:rsid w:val="00756EBA"/>
    <w:rsid w:val="00761B8F"/>
    <w:rsid w:val="00765186"/>
    <w:rsid w:val="00774B79"/>
    <w:rsid w:val="00780F3B"/>
    <w:rsid w:val="0078330B"/>
    <w:rsid w:val="007873BD"/>
    <w:rsid w:val="00787D35"/>
    <w:rsid w:val="0079072C"/>
    <w:rsid w:val="007A3BF3"/>
    <w:rsid w:val="007A4C3A"/>
    <w:rsid w:val="007A71F5"/>
    <w:rsid w:val="007A7366"/>
    <w:rsid w:val="007B1D0F"/>
    <w:rsid w:val="007B3901"/>
    <w:rsid w:val="007B698C"/>
    <w:rsid w:val="007C2E6E"/>
    <w:rsid w:val="007C7108"/>
    <w:rsid w:val="007D1F3A"/>
    <w:rsid w:val="007D2FAE"/>
    <w:rsid w:val="007F05B6"/>
    <w:rsid w:val="007F793B"/>
    <w:rsid w:val="00800E82"/>
    <w:rsid w:val="008034F2"/>
    <w:rsid w:val="008109EF"/>
    <w:rsid w:val="0081292E"/>
    <w:rsid w:val="0081323A"/>
    <w:rsid w:val="00817941"/>
    <w:rsid w:val="008354B6"/>
    <w:rsid w:val="00837B3E"/>
    <w:rsid w:val="00841106"/>
    <w:rsid w:val="008414A1"/>
    <w:rsid w:val="008414D5"/>
    <w:rsid w:val="00842217"/>
    <w:rsid w:val="00852427"/>
    <w:rsid w:val="0085478D"/>
    <w:rsid w:val="008567B9"/>
    <w:rsid w:val="00863B78"/>
    <w:rsid w:val="00875033"/>
    <w:rsid w:val="00880D47"/>
    <w:rsid w:val="008900CC"/>
    <w:rsid w:val="00893062"/>
    <w:rsid w:val="008946E9"/>
    <w:rsid w:val="008A5C14"/>
    <w:rsid w:val="008C229B"/>
    <w:rsid w:val="008C33DC"/>
    <w:rsid w:val="008C6C13"/>
    <w:rsid w:val="008D77D2"/>
    <w:rsid w:val="008D7D09"/>
    <w:rsid w:val="008E2082"/>
    <w:rsid w:val="008E7672"/>
    <w:rsid w:val="008F261A"/>
    <w:rsid w:val="008F34E5"/>
    <w:rsid w:val="0090061F"/>
    <w:rsid w:val="00906156"/>
    <w:rsid w:val="00911882"/>
    <w:rsid w:val="0092028B"/>
    <w:rsid w:val="00923917"/>
    <w:rsid w:val="009305BB"/>
    <w:rsid w:val="00945911"/>
    <w:rsid w:val="00953293"/>
    <w:rsid w:val="00955C28"/>
    <w:rsid w:val="0096133C"/>
    <w:rsid w:val="009629B8"/>
    <w:rsid w:val="009671C0"/>
    <w:rsid w:val="00970A12"/>
    <w:rsid w:val="00970C27"/>
    <w:rsid w:val="00970C2E"/>
    <w:rsid w:val="009900A9"/>
    <w:rsid w:val="0099555D"/>
    <w:rsid w:val="00995ADD"/>
    <w:rsid w:val="009A1CAC"/>
    <w:rsid w:val="009B0D0A"/>
    <w:rsid w:val="009B1364"/>
    <w:rsid w:val="009C3040"/>
    <w:rsid w:val="009C4247"/>
    <w:rsid w:val="009D0537"/>
    <w:rsid w:val="009D4D89"/>
    <w:rsid w:val="009E26F4"/>
    <w:rsid w:val="009E38BF"/>
    <w:rsid w:val="009E6AFE"/>
    <w:rsid w:val="009F1EE6"/>
    <w:rsid w:val="009F41A9"/>
    <w:rsid w:val="00A03F78"/>
    <w:rsid w:val="00A065C3"/>
    <w:rsid w:val="00A148A5"/>
    <w:rsid w:val="00A21243"/>
    <w:rsid w:val="00A22A19"/>
    <w:rsid w:val="00A245B5"/>
    <w:rsid w:val="00A40A32"/>
    <w:rsid w:val="00A46F96"/>
    <w:rsid w:val="00A551D8"/>
    <w:rsid w:val="00A563DF"/>
    <w:rsid w:val="00A57C2E"/>
    <w:rsid w:val="00A61E8B"/>
    <w:rsid w:val="00A652CD"/>
    <w:rsid w:val="00A65EDF"/>
    <w:rsid w:val="00A732B5"/>
    <w:rsid w:val="00A760C2"/>
    <w:rsid w:val="00A8183D"/>
    <w:rsid w:val="00A8774E"/>
    <w:rsid w:val="00A928B9"/>
    <w:rsid w:val="00AA1123"/>
    <w:rsid w:val="00AA4F79"/>
    <w:rsid w:val="00AA7916"/>
    <w:rsid w:val="00AB4264"/>
    <w:rsid w:val="00AB46B0"/>
    <w:rsid w:val="00AB79EF"/>
    <w:rsid w:val="00AC265A"/>
    <w:rsid w:val="00AC3328"/>
    <w:rsid w:val="00AC75B9"/>
    <w:rsid w:val="00AD0F64"/>
    <w:rsid w:val="00AD1D1F"/>
    <w:rsid w:val="00AE0825"/>
    <w:rsid w:val="00AE361B"/>
    <w:rsid w:val="00AE5518"/>
    <w:rsid w:val="00AF6915"/>
    <w:rsid w:val="00AF6A5B"/>
    <w:rsid w:val="00B02FF1"/>
    <w:rsid w:val="00B07EBE"/>
    <w:rsid w:val="00B10AB5"/>
    <w:rsid w:val="00B14CB8"/>
    <w:rsid w:val="00B24BA0"/>
    <w:rsid w:val="00B3076D"/>
    <w:rsid w:val="00B31723"/>
    <w:rsid w:val="00B322D2"/>
    <w:rsid w:val="00B3287F"/>
    <w:rsid w:val="00B368A9"/>
    <w:rsid w:val="00B37AD1"/>
    <w:rsid w:val="00B51667"/>
    <w:rsid w:val="00B53572"/>
    <w:rsid w:val="00B60019"/>
    <w:rsid w:val="00B64021"/>
    <w:rsid w:val="00B656FA"/>
    <w:rsid w:val="00B71BD9"/>
    <w:rsid w:val="00B71C0E"/>
    <w:rsid w:val="00B76C81"/>
    <w:rsid w:val="00B77BC6"/>
    <w:rsid w:val="00B82379"/>
    <w:rsid w:val="00B85709"/>
    <w:rsid w:val="00B940A2"/>
    <w:rsid w:val="00B94BD7"/>
    <w:rsid w:val="00BA4EB6"/>
    <w:rsid w:val="00BA53CE"/>
    <w:rsid w:val="00BB350F"/>
    <w:rsid w:val="00BB7EBD"/>
    <w:rsid w:val="00BC3653"/>
    <w:rsid w:val="00BC5FFA"/>
    <w:rsid w:val="00BD1F31"/>
    <w:rsid w:val="00BF71BF"/>
    <w:rsid w:val="00C00962"/>
    <w:rsid w:val="00C0287B"/>
    <w:rsid w:val="00C148B3"/>
    <w:rsid w:val="00C150FB"/>
    <w:rsid w:val="00C255D0"/>
    <w:rsid w:val="00C25E17"/>
    <w:rsid w:val="00C264C0"/>
    <w:rsid w:val="00C271EB"/>
    <w:rsid w:val="00C27FB5"/>
    <w:rsid w:val="00C300C3"/>
    <w:rsid w:val="00C3106E"/>
    <w:rsid w:val="00C3173B"/>
    <w:rsid w:val="00C35801"/>
    <w:rsid w:val="00C42DED"/>
    <w:rsid w:val="00C45294"/>
    <w:rsid w:val="00C456DD"/>
    <w:rsid w:val="00C45E81"/>
    <w:rsid w:val="00C63155"/>
    <w:rsid w:val="00C636C9"/>
    <w:rsid w:val="00C70D05"/>
    <w:rsid w:val="00C73BE3"/>
    <w:rsid w:val="00C74283"/>
    <w:rsid w:val="00C820BB"/>
    <w:rsid w:val="00C83615"/>
    <w:rsid w:val="00C84102"/>
    <w:rsid w:val="00C8518A"/>
    <w:rsid w:val="00C93402"/>
    <w:rsid w:val="00CD2A18"/>
    <w:rsid w:val="00CD3F34"/>
    <w:rsid w:val="00CD5235"/>
    <w:rsid w:val="00CE02A2"/>
    <w:rsid w:val="00CE0CFA"/>
    <w:rsid w:val="00CE415A"/>
    <w:rsid w:val="00D06B3A"/>
    <w:rsid w:val="00D1037E"/>
    <w:rsid w:val="00D11B07"/>
    <w:rsid w:val="00D13537"/>
    <w:rsid w:val="00D13F75"/>
    <w:rsid w:val="00D23D80"/>
    <w:rsid w:val="00D243AA"/>
    <w:rsid w:val="00D34EC6"/>
    <w:rsid w:val="00D460ED"/>
    <w:rsid w:val="00D51F21"/>
    <w:rsid w:val="00D551E2"/>
    <w:rsid w:val="00D604AF"/>
    <w:rsid w:val="00D64FCB"/>
    <w:rsid w:val="00D6639F"/>
    <w:rsid w:val="00D7281C"/>
    <w:rsid w:val="00D730FD"/>
    <w:rsid w:val="00D74B3C"/>
    <w:rsid w:val="00D7586E"/>
    <w:rsid w:val="00D7733F"/>
    <w:rsid w:val="00D819AE"/>
    <w:rsid w:val="00D85206"/>
    <w:rsid w:val="00D85748"/>
    <w:rsid w:val="00D8627C"/>
    <w:rsid w:val="00D91CDF"/>
    <w:rsid w:val="00D96363"/>
    <w:rsid w:val="00DA1172"/>
    <w:rsid w:val="00DA49EA"/>
    <w:rsid w:val="00DC3B72"/>
    <w:rsid w:val="00DC404E"/>
    <w:rsid w:val="00DD2720"/>
    <w:rsid w:val="00DD42BD"/>
    <w:rsid w:val="00DE1415"/>
    <w:rsid w:val="00DE2A18"/>
    <w:rsid w:val="00DE5DA0"/>
    <w:rsid w:val="00DE5FB4"/>
    <w:rsid w:val="00DF3905"/>
    <w:rsid w:val="00E02B6B"/>
    <w:rsid w:val="00E0512E"/>
    <w:rsid w:val="00E110A5"/>
    <w:rsid w:val="00E15212"/>
    <w:rsid w:val="00E16B3E"/>
    <w:rsid w:val="00E215B9"/>
    <w:rsid w:val="00E37D11"/>
    <w:rsid w:val="00E4129F"/>
    <w:rsid w:val="00E54BA5"/>
    <w:rsid w:val="00E57EDA"/>
    <w:rsid w:val="00E60717"/>
    <w:rsid w:val="00E60982"/>
    <w:rsid w:val="00E65837"/>
    <w:rsid w:val="00E6648D"/>
    <w:rsid w:val="00E705DC"/>
    <w:rsid w:val="00E7167D"/>
    <w:rsid w:val="00E85305"/>
    <w:rsid w:val="00E90926"/>
    <w:rsid w:val="00E9443B"/>
    <w:rsid w:val="00E94FA5"/>
    <w:rsid w:val="00EA13E7"/>
    <w:rsid w:val="00EA1E26"/>
    <w:rsid w:val="00EA2987"/>
    <w:rsid w:val="00EA5E46"/>
    <w:rsid w:val="00EA7847"/>
    <w:rsid w:val="00EB132F"/>
    <w:rsid w:val="00EB2AA0"/>
    <w:rsid w:val="00EB749C"/>
    <w:rsid w:val="00EC6E9A"/>
    <w:rsid w:val="00ED1B42"/>
    <w:rsid w:val="00ED29F9"/>
    <w:rsid w:val="00ED4C75"/>
    <w:rsid w:val="00EE19EF"/>
    <w:rsid w:val="00EE623E"/>
    <w:rsid w:val="00EF2A0F"/>
    <w:rsid w:val="00EF65A8"/>
    <w:rsid w:val="00F049AC"/>
    <w:rsid w:val="00F113BF"/>
    <w:rsid w:val="00F13ABB"/>
    <w:rsid w:val="00F13DFC"/>
    <w:rsid w:val="00F14D2D"/>
    <w:rsid w:val="00F16C4C"/>
    <w:rsid w:val="00F20811"/>
    <w:rsid w:val="00F210E6"/>
    <w:rsid w:val="00F21E0A"/>
    <w:rsid w:val="00F22825"/>
    <w:rsid w:val="00F23D61"/>
    <w:rsid w:val="00F2433D"/>
    <w:rsid w:val="00F31F23"/>
    <w:rsid w:val="00F355F4"/>
    <w:rsid w:val="00F36D80"/>
    <w:rsid w:val="00F42D8F"/>
    <w:rsid w:val="00F4607F"/>
    <w:rsid w:val="00F47626"/>
    <w:rsid w:val="00F57794"/>
    <w:rsid w:val="00F607B6"/>
    <w:rsid w:val="00F6097C"/>
    <w:rsid w:val="00F63DBE"/>
    <w:rsid w:val="00F76954"/>
    <w:rsid w:val="00F77DF2"/>
    <w:rsid w:val="00F819B8"/>
    <w:rsid w:val="00F86C4F"/>
    <w:rsid w:val="00F93B51"/>
    <w:rsid w:val="00F94CCC"/>
    <w:rsid w:val="00F957CE"/>
    <w:rsid w:val="00F97F89"/>
    <w:rsid w:val="00FB19D2"/>
    <w:rsid w:val="00FC2327"/>
    <w:rsid w:val="00FC3037"/>
    <w:rsid w:val="00FC316E"/>
    <w:rsid w:val="00FC5EE8"/>
    <w:rsid w:val="00FD5324"/>
    <w:rsid w:val="00FD62EC"/>
    <w:rsid w:val="00FE27B7"/>
    <w:rsid w:val="00FE29BE"/>
    <w:rsid w:val="00FE2AE1"/>
    <w:rsid w:val="00FE5458"/>
    <w:rsid w:val="00FE6795"/>
    <w:rsid w:val="01330BCF"/>
    <w:rsid w:val="01583409"/>
    <w:rsid w:val="01A31475"/>
    <w:rsid w:val="01AA7D1B"/>
    <w:rsid w:val="02050309"/>
    <w:rsid w:val="025F1DD2"/>
    <w:rsid w:val="02665C60"/>
    <w:rsid w:val="03A64228"/>
    <w:rsid w:val="04811FE9"/>
    <w:rsid w:val="04D1736D"/>
    <w:rsid w:val="05A83105"/>
    <w:rsid w:val="060D0713"/>
    <w:rsid w:val="071B502C"/>
    <w:rsid w:val="079D70A7"/>
    <w:rsid w:val="07C9494C"/>
    <w:rsid w:val="07F85594"/>
    <w:rsid w:val="08471E20"/>
    <w:rsid w:val="09FB194E"/>
    <w:rsid w:val="0A5511B5"/>
    <w:rsid w:val="0C29257C"/>
    <w:rsid w:val="0C3A016B"/>
    <w:rsid w:val="0CE260BC"/>
    <w:rsid w:val="0D2C55B8"/>
    <w:rsid w:val="0D380677"/>
    <w:rsid w:val="0EF40D5A"/>
    <w:rsid w:val="0EF600FC"/>
    <w:rsid w:val="0FB4693D"/>
    <w:rsid w:val="0FC05C0E"/>
    <w:rsid w:val="110D523F"/>
    <w:rsid w:val="11803FE3"/>
    <w:rsid w:val="13217BBE"/>
    <w:rsid w:val="139B23FB"/>
    <w:rsid w:val="145C002F"/>
    <w:rsid w:val="14820806"/>
    <w:rsid w:val="153C5486"/>
    <w:rsid w:val="156D6C3E"/>
    <w:rsid w:val="15C66F7E"/>
    <w:rsid w:val="1665388A"/>
    <w:rsid w:val="16907992"/>
    <w:rsid w:val="16F166EF"/>
    <w:rsid w:val="17322A40"/>
    <w:rsid w:val="1816256E"/>
    <w:rsid w:val="185354DF"/>
    <w:rsid w:val="187C1786"/>
    <w:rsid w:val="19481F81"/>
    <w:rsid w:val="1A0758B3"/>
    <w:rsid w:val="1AB10DF9"/>
    <w:rsid w:val="1AE527E8"/>
    <w:rsid w:val="1AEC063C"/>
    <w:rsid w:val="1BDA3BAB"/>
    <w:rsid w:val="1C3A116B"/>
    <w:rsid w:val="1C9B7729"/>
    <w:rsid w:val="1DC675AB"/>
    <w:rsid w:val="1DE0470B"/>
    <w:rsid w:val="1F10520A"/>
    <w:rsid w:val="1F461181"/>
    <w:rsid w:val="1F5406AF"/>
    <w:rsid w:val="20434B05"/>
    <w:rsid w:val="2097788C"/>
    <w:rsid w:val="215441BB"/>
    <w:rsid w:val="22804455"/>
    <w:rsid w:val="23D6464A"/>
    <w:rsid w:val="23EA427B"/>
    <w:rsid w:val="24513157"/>
    <w:rsid w:val="24545B99"/>
    <w:rsid w:val="24F459A5"/>
    <w:rsid w:val="25D93DCD"/>
    <w:rsid w:val="261B7905"/>
    <w:rsid w:val="26411D71"/>
    <w:rsid w:val="26DA3D9D"/>
    <w:rsid w:val="273336B6"/>
    <w:rsid w:val="29E20AEA"/>
    <w:rsid w:val="2A4C2E6E"/>
    <w:rsid w:val="2B277B63"/>
    <w:rsid w:val="2C646EEF"/>
    <w:rsid w:val="2CB573F1"/>
    <w:rsid w:val="2D84231F"/>
    <w:rsid w:val="2E4622A1"/>
    <w:rsid w:val="2EED3D6C"/>
    <w:rsid w:val="2F9E5968"/>
    <w:rsid w:val="31102BF4"/>
    <w:rsid w:val="32E77D9B"/>
    <w:rsid w:val="34161ADD"/>
    <w:rsid w:val="343F3BB6"/>
    <w:rsid w:val="34F12F90"/>
    <w:rsid w:val="35D661B7"/>
    <w:rsid w:val="373D0691"/>
    <w:rsid w:val="386E3CE1"/>
    <w:rsid w:val="3A4A0CD0"/>
    <w:rsid w:val="3C10662E"/>
    <w:rsid w:val="3C1814F4"/>
    <w:rsid w:val="3C9D47AE"/>
    <w:rsid w:val="3CDD6481"/>
    <w:rsid w:val="3E5D5A31"/>
    <w:rsid w:val="3F061B58"/>
    <w:rsid w:val="3F94181E"/>
    <w:rsid w:val="420936C7"/>
    <w:rsid w:val="42180B39"/>
    <w:rsid w:val="422F6EA6"/>
    <w:rsid w:val="42D83145"/>
    <w:rsid w:val="43164218"/>
    <w:rsid w:val="43167039"/>
    <w:rsid w:val="434E3083"/>
    <w:rsid w:val="441476A7"/>
    <w:rsid w:val="452572E5"/>
    <w:rsid w:val="45555FC7"/>
    <w:rsid w:val="467C12B0"/>
    <w:rsid w:val="468F727E"/>
    <w:rsid w:val="46E356D8"/>
    <w:rsid w:val="47F72214"/>
    <w:rsid w:val="48255976"/>
    <w:rsid w:val="484819B2"/>
    <w:rsid w:val="49717D67"/>
    <w:rsid w:val="49926875"/>
    <w:rsid w:val="499F7236"/>
    <w:rsid w:val="49C34614"/>
    <w:rsid w:val="4A633B90"/>
    <w:rsid w:val="4ABE596A"/>
    <w:rsid w:val="4B0A7982"/>
    <w:rsid w:val="4B6F0FB6"/>
    <w:rsid w:val="4BBB58FC"/>
    <w:rsid w:val="4CBD3A2C"/>
    <w:rsid w:val="4CD31888"/>
    <w:rsid w:val="4D017EE9"/>
    <w:rsid w:val="4D2676C6"/>
    <w:rsid w:val="4EFC63A0"/>
    <w:rsid w:val="4F141BFC"/>
    <w:rsid w:val="4FA5149A"/>
    <w:rsid w:val="4FF14604"/>
    <w:rsid w:val="503D0049"/>
    <w:rsid w:val="5103726B"/>
    <w:rsid w:val="51850890"/>
    <w:rsid w:val="519835D9"/>
    <w:rsid w:val="51F751F2"/>
    <w:rsid w:val="527427EC"/>
    <w:rsid w:val="52BD5936"/>
    <w:rsid w:val="52DD3116"/>
    <w:rsid w:val="539B7B56"/>
    <w:rsid w:val="544669FD"/>
    <w:rsid w:val="54B83B2B"/>
    <w:rsid w:val="55CA5055"/>
    <w:rsid w:val="55FD758F"/>
    <w:rsid w:val="568C54A1"/>
    <w:rsid w:val="571C116D"/>
    <w:rsid w:val="576C7C19"/>
    <w:rsid w:val="5793209C"/>
    <w:rsid w:val="58964CA3"/>
    <w:rsid w:val="590066E4"/>
    <w:rsid w:val="597177C9"/>
    <w:rsid w:val="59DC7588"/>
    <w:rsid w:val="5A3436F3"/>
    <w:rsid w:val="5AE14D89"/>
    <w:rsid w:val="5B70794E"/>
    <w:rsid w:val="5BCF1086"/>
    <w:rsid w:val="5BFF3F86"/>
    <w:rsid w:val="5D1B534F"/>
    <w:rsid w:val="5D4E1EA4"/>
    <w:rsid w:val="5DA61DC0"/>
    <w:rsid w:val="5FF768EF"/>
    <w:rsid w:val="6082054A"/>
    <w:rsid w:val="61D84114"/>
    <w:rsid w:val="62E551E2"/>
    <w:rsid w:val="63125F32"/>
    <w:rsid w:val="635C5093"/>
    <w:rsid w:val="6472552C"/>
    <w:rsid w:val="663F505A"/>
    <w:rsid w:val="66A17201"/>
    <w:rsid w:val="67486B56"/>
    <w:rsid w:val="6772249D"/>
    <w:rsid w:val="67FD36C9"/>
    <w:rsid w:val="684C1AB9"/>
    <w:rsid w:val="68D979E8"/>
    <w:rsid w:val="6A473887"/>
    <w:rsid w:val="6A7C062B"/>
    <w:rsid w:val="6C944351"/>
    <w:rsid w:val="6C96463E"/>
    <w:rsid w:val="6CBC3F1E"/>
    <w:rsid w:val="6D4F6DBD"/>
    <w:rsid w:val="6DAD74CE"/>
    <w:rsid w:val="6E3D03BA"/>
    <w:rsid w:val="6E8E182D"/>
    <w:rsid w:val="6E982C53"/>
    <w:rsid w:val="6F072C54"/>
    <w:rsid w:val="6F6A75EB"/>
    <w:rsid w:val="707149AA"/>
    <w:rsid w:val="71DD0A61"/>
    <w:rsid w:val="734D40B3"/>
    <w:rsid w:val="73846F32"/>
    <w:rsid w:val="738B241F"/>
    <w:rsid w:val="73A570F9"/>
    <w:rsid w:val="74D07EF1"/>
    <w:rsid w:val="758F6A52"/>
    <w:rsid w:val="77831DD0"/>
    <w:rsid w:val="779514CC"/>
    <w:rsid w:val="7927654D"/>
    <w:rsid w:val="79846997"/>
    <w:rsid w:val="79AB6836"/>
    <w:rsid w:val="7A112D6D"/>
    <w:rsid w:val="7AED7215"/>
    <w:rsid w:val="7B1F5CAB"/>
    <w:rsid w:val="7D2D4F94"/>
    <w:rsid w:val="7DC4490E"/>
    <w:rsid w:val="7DE13CC0"/>
    <w:rsid w:val="7DF62E04"/>
    <w:rsid w:val="7E544BA5"/>
    <w:rsid w:val="7ECD0561"/>
    <w:rsid w:val="7F88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3">
    <w:name w:val="Date"/>
    <w:basedOn w:val="1"/>
    <w:next w:val="1"/>
    <w:link w:val="14"/>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1">
    <w:name w:val="Emphasis"/>
    <w:basedOn w:val="10"/>
    <w:qFormat/>
    <w:uiPriority w:val="20"/>
    <w:rPr>
      <w:i/>
    </w:rPr>
  </w:style>
  <w:style w:type="character" w:styleId="12">
    <w:name w:val="HTML Definition"/>
    <w:basedOn w:val="10"/>
    <w:semiHidden/>
    <w:unhideWhenUsed/>
    <w:qFormat/>
    <w:uiPriority w:val="99"/>
    <w:rPr>
      <w:i/>
      <w:iCs/>
    </w:rPr>
  </w:style>
  <w:style w:type="character" w:styleId="13">
    <w:name w:val="Hyperlink"/>
    <w:basedOn w:val="10"/>
    <w:unhideWhenUsed/>
    <w:qFormat/>
    <w:uiPriority w:val="99"/>
    <w:rPr>
      <w:color w:val="0000FF"/>
      <w:u w:val="single"/>
    </w:rPr>
  </w:style>
  <w:style w:type="character" w:customStyle="1" w:styleId="14">
    <w:name w:val="日期 字符"/>
    <w:basedOn w:val="10"/>
    <w:link w:val="3"/>
    <w:semiHidden/>
    <w:qFormat/>
    <w:uiPriority w:val="99"/>
  </w:style>
  <w:style w:type="character" w:customStyle="1" w:styleId="15">
    <w:name w:val="页眉 字符"/>
    <w:basedOn w:val="10"/>
    <w:link w:val="6"/>
    <w:semiHidden/>
    <w:qFormat/>
    <w:uiPriority w:val="99"/>
    <w:rPr>
      <w:sz w:val="18"/>
      <w:szCs w:val="18"/>
    </w:rPr>
  </w:style>
  <w:style w:type="character" w:customStyle="1" w:styleId="16">
    <w:name w:val="页脚 字符"/>
    <w:basedOn w:val="10"/>
    <w:link w:val="5"/>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正文文本 字符"/>
    <w:basedOn w:val="10"/>
    <w:link w:val="2"/>
    <w:qFormat/>
    <w:uiPriority w:val="99"/>
    <w:rPr>
      <w:rFonts w:ascii="仿宋_GB2312" w:hAnsi="Times New Roman" w:eastAsia="仿宋_GB2312" w:cs="仿宋_GB2312"/>
      <w:kern w:val="0"/>
      <w:sz w:val="32"/>
      <w:szCs w:val="32"/>
    </w:rPr>
  </w:style>
  <w:style w:type="character" w:customStyle="1" w:styleId="19">
    <w:name w:val="fontstyle01"/>
    <w:basedOn w:val="10"/>
    <w:qFormat/>
    <w:uiPriority w:val="0"/>
    <w:rPr>
      <w:rFonts w:ascii="仿宋_GB2312" w:eastAsia="仿宋_GB2312" w:cs="仿宋_GB2312"/>
      <w:color w:val="000000"/>
      <w:sz w:val="32"/>
      <w:szCs w:val="32"/>
    </w:rPr>
  </w:style>
  <w:style w:type="character" w:customStyle="1" w:styleId="20">
    <w:name w:val="fontstyle21"/>
    <w:basedOn w:val="10"/>
    <w:qFormat/>
    <w:uiPriority w:val="0"/>
    <w:rPr>
      <w:rFonts w:hint="default" w:ascii="Times New Roman" w:hAnsi="Times New Roman" w:cs="Times New Roman"/>
      <w:color w:val="000000"/>
      <w:sz w:val="32"/>
      <w:szCs w:val="32"/>
    </w:rPr>
  </w:style>
  <w:style w:type="character" w:customStyle="1" w:styleId="21">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2">
    <w:name w:val="fontstyle11"/>
    <w:basedOn w:val="10"/>
    <w:qFormat/>
    <w:uiPriority w:val="0"/>
    <w:rPr>
      <w:rFonts w:hint="default" w:ascii="Times New Roman" w:hAnsi="Times New Roman" w:cs="Times New Roman"/>
      <w:color w:val="000000"/>
      <w:sz w:val="32"/>
      <w:szCs w:val="32"/>
    </w:rPr>
  </w:style>
  <w:style w:type="character" w:customStyle="1" w:styleId="23">
    <w:name w:val="fontstyle31"/>
    <w:basedOn w:val="10"/>
    <w:qFormat/>
    <w:uiPriority w:val="0"/>
    <w:rPr>
      <w:rFonts w:hint="default" w:ascii="Times New Roman" w:hAnsi="Times New Roman" w:cs="Times New Roman"/>
      <w:color w:val="000000"/>
      <w:sz w:val="32"/>
      <w:szCs w:val="32"/>
    </w:rPr>
  </w:style>
  <w:style w:type="character" w:customStyle="1" w:styleId="24">
    <w:name w:val="qk-md-text"/>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2033</Words>
  <Characters>2180</Characters>
  <Lines>30</Lines>
  <Paragraphs>8</Paragraphs>
  <TotalTime>0</TotalTime>
  <ScaleCrop>false</ScaleCrop>
  <LinksUpToDate>false</LinksUpToDate>
  <CharactersWithSpaces>2195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2019-09-12T01:11:00Z</dcterms:created>
  <dc:creator>微软用户</dc:creator>
  <cp:lastModifiedBy>Rion</cp:lastModifiedBy>
  <cp:lastPrinted>2017-03-29T07:42:00Z</cp:lastPrinted>
  <dcterms:modified xsi:type="dcterms:W3CDTF">2025-05-14T01:05:10Z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1D0D3FCFF195450781FD52AFF49AF235_13</vt:lpwstr>
  </property>
  <property fmtid="{D5CDD505-2E9C-101B-9397-08002B2CF9AE}" pid="4" name="KSOTemplateDocerSaveRecord">
    <vt:lpwstr>eyJoZGlkIjoiOGQ3M2RhZDY5OGJhODQwOTQ4ZDNlZTJlYjU5YTIyYjUiLCJ1c2VySWQiOiI3OTA2MjI4MDcifQ==</vt:lpwstr>
  </property>
</Properties>
</file>