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E6C1F">
      <w:pPr>
        <w:rPr>
          <w:rFonts w:hint="eastAsia" w:ascii="方正小标宋简体" w:eastAsia="方正小标宋简体"/>
          <w:color w:val="auto"/>
          <w:sz w:val="20"/>
          <w:szCs w:val="20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4</w:t>
      </w:r>
    </w:p>
    <w:p w14:paraId="5ADDD41D">
      <w:pPr>
        <w:spacing w:line="600" w:lineRule="exact"/>
        <w:jc w:val="center"/>
        <w:rPr>
          <w:rFonts w:hint="eastAsia" w:ascii="Times New Roman" w:eastAsia="方正小标宋简体"/>
          <w:color w:val="auto"/>
          <w:highlight w:val="none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部分检验项目的说明</w:t>
      </w:r>
    </w:p>
    <w:p w14:paraId="7F2296D1">
      <w:pPr>
        <w:pStyle w:val="2"/>
        <w:keepNext w:val="0"/>
        <w:keepLines w:val="0"/>
        <w:pageBreakBefore w:val="0"/>
        <w:numPr>
          <w:ilvl w:val="0"/>
          <w:numId w:val="1"/>
        </w:numPr>
        <w:kinsoku w:val="0"/>
        <w:wordWrap/>
        <w:overflowPunct w:val="0"/>
        <w:topLinePunct w:val="0"/>
        <w:autoSpaceDE w:val="0"/>
        <w:autoSpaceDN w:val="0"/>
        <w:bidi w:val="0"/>
        <w:snapToGrid/>
        <w:spacing w:before="157" w:beforeLines="50"/>
        <w:ind w:left="0" w:leftChars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auto"/>
          <w:highlight w:val="none"/>
        </w:rPr>
      </w:pPr>
      <w:r>
        <w:rPr>
          <w:rFonts w:hint="eastAsia" w:ascii="黑体" w:hAnsi="黑体" w:eastAsia="黑体"/>
          <w:b w:val="0"/>
          <w:bCs w:val="0"/>
          <w:color w:val="auto"/>
          <w:highlight w:val="none"/>
        </w:rPr>
        <w:t>多西环素</w:t>
      </w:r>
    </w:p>
    <w:p w14:paraId="2812E9D9"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snapToGrid/>
        <w:spacing w:before="0" w:line="56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color w:val="auto"/>
          <w:highlight w:val="none"/>
        </w:rPr>
      </w:pPr>
      <w:r>
        <w:rPr>
          <w:rFonts w:hint="eastAsia" w:ascii="Times New Roman" w:hAnsi="Times New Roman" w:eastAsia="仿宋_GB2312"/>
          <w:color w:val="auto"/>
          <w:highlight w:val="none"/>
        </w:rPr>
        <w:t>多西环素是一种四环素类药物，一般用于治疗衣原体、支原体感染。长期大量摄入多西环素残留超标的食品，可能在人体内蓄积，引起胃肠道症状、皮疹、嗜睡、口腔炎症、肝肾受损等。根据《食品安全国家标准 食品中兽药最大残留限量》（GB 31650）中规定，多西环素在鸡蛋中的最大残留限量值为10µg/kg。</w:t>
      </w:r>
    </w:p>
    <w:p w14:paraId="653F89C7"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snapToGrid/>
        <w:spacing w:before="0" w:line="560" w:lineRule="exact"/>
        <w:ind w:left="0" w:firstLine="640" w:firstLineChars="200"/>
        <w:textAlignment w:val="auto"/>
        <w:rPr>
          <w:rFonts w:ascii="Times New Roman"/>
          <w:highlight w:val="none"/>
        </w:rPr>
      </w:pPr>
      <w:r>
        <w:rPr>
          <w:rFonts w:hint="eastAsia" w:ascii="Times New Roman" w:hAnsi="Times New Roman" w:eastAsia="仿宋_GB2312"/>
          <w:color w:val="auto"/>
          <w:highlight w:val="none"/>
        </w:rPr>
        <w:t>本阶段，“区抽”食品安全监督抽检发现有</w:t>
      </w:r>
      <w:r>
        <w:rPr>
          <w:rFonts w:hint="eastAsia" w:ascii="Times New Roman"/>
          <w:color w:val="auto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auto"/>
          <w:highlight w:val="none"/>
        </w:rPr>
        <w:t>批次鸡蛋中多西环素超标。超标原因可能是在养殖过程中为快速控制疫病，养殖户违规加大用药量或不遵守休药期规定，致使上市销售产品残留量超标。</w:t>
      </w:r>
    </w:p>
    <w:p w14:paraId="380E8AE9">
      <w:pPr>
        <w:pStyle w:val="2"/>
        <w:keepNext w:val="0"/>
        <w:keepLines w:val="0"/>
        <w:pageBreakBefore w:val="0"/>
        <w:numPr>
          <w:ilvl w:val="0"/>
          <w:numId w:val="1"/>
        </w:numPr>
        <w:kinsoku w:val="0"/>
        <w:wordWrap/>
        <w:overflowPunct w:val="0"/>
        <w:topLinePunct w:val="0"/>
        <w:autoSpaceDE w:val="0"/>
        <w:autoSpaceDN w:val="0"/>
        <w:bidi w:val="0"/>
        <w:snapToGrid/>
        <w:spacing w:before="157" w:beforeLines="50"/>
        <w:ind w:left="0" w:leftChars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auto"/>
          <w:highlight w:val="none"/>
          <w:lang w:val="en-US" w:eastAsia="zh-CN"/>
        </w:rPr>
        <w:t xml:space="preserve">阴离子合成洗涤剂（以十二烷基苯磺酸钠计） </w:t>
      </w:r>
    </w:p>
    <w:p w14:paraId="0C5F6C72"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snapToGrid/>
        <w:spacing w:before="0" w:line="56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highlight w:val="none"/>
          <w:lang w:val="en-US" w:eastAsia="zh-CN"/>
        </w:rPr>
        <w:t>阴离子合成洗涤剂其主要成分为十二烷基磺酸钠，是一种低毒物质，因其使用方便、易溶解、稳定性好、成本低等优点，在消毒企业中广泛使用。《食品安全国家标准 消毒餐（饮）具》（GB14934-2016）规定，用化学消毒法的餐（饮）具的阴离子合成洗涤剂应不得检出。</w:t>
      </w:r>
    </w:p>
    <w:p w14:paraId="74970565"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snapToGrid/>
        <w:spacing w:before="0" w:line="56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highlight w:val="none"/>
        </w:rPr>
        <w:t>本次监督抽检发现有</w:t>
      </w:r>
      <w:r>
        <w:rPr>
          <w:rFonts w:hint="eastAsia" w:ascii="Times New Roman"/>
          <w:color w:val="auto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auto"/>
          <w:highlight w:val="none"/>
          <w:lang w:val="en-US" w:eastAsia="zh-CN"/>
        </w:rPr>
        <w:t>批次自消餐具</w:t>
      </w:r>
      <w:r>
        <w:rPr>
          <w:rFonts w:hint="eastAsia" w:ascii="Times New Roman" w:hAnsi="Times New Roman" w:eastAsia="仿宋_GB2312"/>
          <w:color w:val="auto"/>
          <w:highlight w:val="none"/>
        </w:rPr>
        <w:t>中阴离子合成洗涤剂</w:t>
      </w:r>
      <w:r>
        <w:rPr>
          <w:rFonts w:hint="eastAsia" w:ascii="Times New Roman" w:hAnsi="Times New Roman" w:eastAsia="仿宋_GB2312"/>
          <w:color w:val="auto"/>
          <w:highlight w:val="none"/>
          <w:lang w:eastAsia="zh-CN"/>
        </w:rPr>
        <w:t>有检出</w:t>
      </w:r>
      <w:r>
        <w:rPr>
          <w:rFonts w:hint="eastAsia" w:ascii="Times New Roman" w:hAnsi="Times New Roman" w:eastAsia="仿宋_GB2312"/>
          <w:color w:val="auto"/>
          <w:highlight w:val="none"/>
        </w:rPr>
        <w:t>，</w:t>
      </w:r>
      <w:r>
        <w:rPr>
          <w:rFonts w:hint="eastAsia" w:ascii="Times New Roman" w:hAnsi="Times New Roman" w:eastAsia="仿宋_GB2312"/>
          <w:color w:val="auto"/>
          <w:highlight w:val="none"/>
          <w:lang w:val="en-US" w:eastAsia="zh-CN"/>
        </w:rPr>
        <w:t>餐（饮）具中检出阴离子合成洗涤剂，原因可能是：餐（饮）具消毒单位使用的洗涤剂不合格或使用量过大，未经足够量清水冲洗，餐具漂洗池内清洗用水重复使用，餐具数量多，造成交叉污染，进而残存在餐（饮）具中。</w:t>
      </w:r>
    </w:p>
    <w:p w14:paraId="0381AD35">
      <w:pPr>
        <w:pStyle w:val="2"/>
        <w:keepNext w:val="0"/>
        <w:keepLines w:val="0"/>
        <w:pageBreakBefore w:val="0"/>
        <w:numPr>
          <w:ilvl w:val="0"/>
          <w:numId w:val="1"/>
        </w:numPr>
        <w:kinsoku w:val="0"/>
        <w:wordWrap/>
        <w:overflowPunct w:val="0"/>
        <w:topLinePunct w:val="0"/>
        <w:autoSpaceDE w:val="0"/>
        <w:autoSpaceDN w:val="0"/>
        <w:bidi w:val="0"/>
        <w:snapToGrid/>
        <w:spacing w:before="157" w:beforeLines="50"/>
        <w:ind w:left="0" w:leftChars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auto"/>
          <w:highlight w:val="none"/>
        </w:rPr>
      </w:pPr>
      <w:r>
        <w:rPr>
          <w:rFonts w:hint="eastAsia" w:ascii="黑体" w:hAnsi="黑体" w:eastAsia="黑体"/>
          <w:b w:val="0"/>
          <w:bCs w:val="0"/>
          <w:color w:val="auto"/>
          <w:highlight w:val="none"/>
        </w:rPr>
        <w:t>酸价(KOH)</w:t>
      </w:r>
    </w:p>
    <w:p w14:paraId="1D2097E6"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snapToGrid/>
        <w:spacing w:before="0" w:line="56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color w:val="auto"/>
          <w:highlight w:val="none"/>
        </w:rPr>
      </w:pPr>
      <w:r>
        <w:rPr>
          <w:rFonts w:hint="eastAsia" w:ascii="Times New Roman" w:hAnsi="Times New Roman" w:eastAsia="仿宋_GB2312"/>
          <w:color w:val="auto"/>
          <w:highlight w:val="none"/>
        </w:rPr>
        <w:t>酸价主要反映油脂中游离脂肪酸的含量，是衡量油脂质量好坏的一个重要指标。食用酸价超标的花生油，可能会引起肠胃不适，出现恶心、呕吐、腹痛等症状，长期摄入酸价过高的油脂还可能对肝脏等器官功能产生不良影响，增加患病风险。‌《食品安全国家标准 植物油》（GB 2716）中规定，花生油中</w:t>
      </w:r>
      <w:bookmarkStart w:id="0" w:name="OLE_LINK1"/>
      <w:r>
        <w:rPr>
          <w:rFonts w:hint="eastAsia" w:ascii="Times New Roman" w:hAnsi="Times New Roman" w:eastAsia="仿宋_GB2312"/>
          <w:color w:val="auto"/>
          <w:highlight w:val="none"/>
        </w:rPr>
        <w:t>酸价(KOH)</w:t>
      </w:r>
      <w:bookmarkEnd w:id="0"/>
      <w:r>
        <w:rPr>
          <w:rFonts w:hint="eastAsia" w:ascii="Times New Roman" w:hAnsi="Times New Roman" w:eastAsia="仿宋_GB2312"/>
          <w:color w:val="auto"/>
          <w:highlight w:val="none"/>
        </w:rPr>
        <w:t>检测值不得超过3 mg/g。</w:t>
      </w:r>
    </w:p>
    <w:p w14:paraId="458B692E"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snapToGrid/>
        <w:spacing w:before="0" w:line="560" w:lineRule="exact"/>
        <w:ind w:left="0" w:firstLine="640" w:firstLineChars="200"/>
        <w:textAlignment w:val="auto"/>
        <w:rPr>
          <w:rFonts w:ascii="MS Mincho" w:hAnsi="MS Mincho" w:cs="MS Mincho"/>
        </w:rPr>
      </w:pPr>
      <w:r>
        <w:rPr>
          <w:rFonts w:hint="eastAsia" w:ascii="Times New Roman" w:hAnsi="Times New Roman" w:eastAsia="仿宋_GB2312"/>
          <w:color w:val="auto"/>
          <w:highlight w:val="none"/>
        </w:rPr>
        <w:t>本阶段，“区抽”食品安全监督抽检发现有</w:t>
      </w:r>
      <w:r>
        <w:rPr>
          <w:rFonts w:hint="eastAsia" w:ascii="Times New Roman" w:hAnsi="Times New Roman" w:eastAsia="仿宋_GB2312"/>
          <w:color w:val="auto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auto"/>
          <w:highlight w:val="none"/>
        </w:rPr>
        <w:t>批次花生油中酸价(KOH)超标。花生油中酸价(KOH)超标的原因，可能是原料花生品质不佳，本身含有的油脂就已经有较高的游离脂肪酸；或者花生油在储存过程中时间过长、储存条件不当，比如温度过高、湿度较大、受到阳光直射等，导致油脂被氧化分解，使得游离脂肪酸增多，从而造成酸价升高。</w:t>
      </w:r>
    </w:p>
    <w:p w14:paraId="66655231">
      <w:pPr>
        <w:pStyle w:val="2"/>
        <w:keepNext w:val="0"/>
        <w:keepLines w:val="0"/>
        <w:pageBreakBefore w:val="0"/>
        <w:numPr>
          <w:ilvl w:val="0"/>
          <w:numId w:val="1"/>
        </w:numPr>
        <w:kinsoku w:val="0"/>
        <w:wordWrap/>
        <w:overflowPunct w:val="0"/>
        <w:topLinePunct w:val="0"/>
        <w:autoSpaceDE w:val="0"/>
        <w:autoSpaceDN w:val="0"/>
        <w:bidi w:val="0"/>
        <w:snapToGrid/>
        <w:spacing w:before="157" w:beforeLines="50"/>
        <w:ind w:left="0" w:leftChars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auto"/>
          <w:highlight w:val="none"/>
        </w:rPr>
      </w:pPr>
      <w:r>
        <w:rPr>
          <w:rFonts w:hint="eastAsia" w:ascii="黑体" w:hAnsi="黑体" w:eastAsia="黑体"/>
          <w:b w:val="0"/>
          <w:bCs w:val="0"/>
          <w:color w:val="auto"/>
          <w:highlight w:val="none"/>
        </w:rPr>
        <w:t>黄曲霉毒素B₁</w:t>
      </w:r>
    </w:p>
    <w:p w14:paraId="676BBE0B"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snapToGrid/>
        <w:spacing w:before="0" w:line="56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color w:val="auto"/>
          <w:highlight w:val="none"/>
        </w:rPr>
      </w:pPr>
      <w:r>
        <w:rPr>
          <w:rFonts w:hint="eastAsia" w:ascii="Times New Roman" w:hAnsi="Times New Roman" w:eastAsia="仿宋_GB2312"/>
          <w:color w:val="auto"/>
          <w:highlight w:val="none"/>
        </w:rPr>
        <w:t>黄曲霉毒素B₁是一种有害物质，它是由黄曲霉菌产生的一种毒素，常常污染谷物、油籽、坚果、干酪、酱油等食品。长期食用受到黄曲霉毒素B₁污染的食品，会增加患癌症、免疫毒性、肝脏、肾脏等疾病的风险。‌《食品安全国家标准 植物油》（GB 2716）中规定，花生油中</w:t>
      </w:r>
      <w:bookmarkStart w:id="1" w:name="OLE_LINK2"/>
      <w:r>
        <w:rPr>
          <w:rFonts w:hint="eastAsia" w:ascii="Times New Roman" w:hAnsi="Times New Roman" w:eastAsia="仿宋_GB2312"/>
          <w:color w:val="auto"/>
          <w:highlight w:val="none"/>
        </w:rPr>
        <w:t>黄曲霉毒素B₁</w:t>
      </w:r>
      <w:bookmarkEnd w:id="1"/>
      <w:r>
        <w:rPr>
          <w:rFonts w:hint="eastAsia" w:ascii="Times New Roman" w:hAnsi="Times New Roman" w:eastAsia="仿宋_GB2312"/>
          <w:color w:val="auto"/>
          <w:highlight w:val="none"/>
        </w:rPr>
        <w:t>检测值不得超过20µg/kg。</w:t>
      </w:r>
    </w:p>
    <w:p w14:paraId="2F22DE2C"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snapToGrid/>
        <w:spacing w:before="0" w:line="56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color w:val="auto"/>
          <w:highlight w:val="none"/>
        </w:rPr>
      </w:pPr>
      <w:r>
        <w:rPr>
          <w:rFonts w:hint="eastAsia" w:ascii="Times New Roman" w:hAnsi="Times New Roman" w:eastAsia="仿宋_GB2312"/>
          <w:color w:val="auto"/>
          <w:highlight w:val="none"/>
        </w:rPr>
        <w:t>本阶段，“区抽”食品安全监督抽检发现有</w:t>
      </w:r>
      <w:r>
        <w:rPr>
          <w:rFonts w:hint="eastAsia" w:ascii="Times New Roman" w:hAnsi="Times New Roman" w:eastAsia="仿宋_GB2312"/>
          <w:color w:val="auto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auto"/>
          <w:highlight w:val="none"/>
        </w:rPr>
        <w:t>批次花生油中黄曲霉毒素B₁超标。花生油中黄曲霉毒素B₁超标的原因，可能是原料污染，生产环境因素造成，生产加工过程控制不严等原因造成。</w:t>
      </w:r>
    </w:p>
    <w:p w14:paraId="72A543E4">
      <w:pPr>
        <w:pStyle w:val="2"/>
        <w:kinsoku w:val="0"/>
        <w:overflowPunct w:val="0"/>
        <w:spacing w:before="0"/>
        <w:ind w:left="0" w:firstLine="640" w:firstLineChars="200"/>
        <w:rPr>
          <w:rFonts w:ascii="MS Mincho" w:hAnsi="MS Mincho" w:cs="MS Mincho"/>
        </w:rPr>
      </w:pPr>
    </w:p>
    <w:p w14:paraId="36D5445A">
      <w:pPr>
        <w:pStyle w:val="2"/>
        <w:keepNext w:val="0"/>
        <w:keepLines w:val="0"/>
        <w:pageBreakBefore w:val="0"/>
        <w:numPr>
          <w:ilvl w:val="0"/>
          <w:numId w:val="1"/>
        </w:numPr>
        <w:kinsoku w:val="0"/>
        <w:wordWrap/>
        <w:overflowPunct w:val="0"/>
        <w:topLinePunct w:val="0"/>
        <w:autoSpaceDE w:val="0"/>
        <w:autoSpaceDN w:val="0"/>
        <w:bidi w:val="0"/>
        <w:snapToGrid/>
        <w:spacing w:before="157" w:beforeLines="50"/>
        <w:ind w:left="0" w:leftChars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auto"/>
          <w:highlight w:val="none"/>
        </w:rPr>
      </w:pPr>
      <w:r>
        <w:rPr>
          <w:rFonts w:hint="eastAsia" w:ascii="黑体" w:hAnsi="黑体" w:eastAsia="黑体"/>
          <w:b w:val="0"/>
          <w:bCs w:val="0"/>
          <w:color w:val="auto"/>
          <w:highlight w:val="none"/>
        </w:rPr>
        <w:t>毒死蜱</w:t>
      </w:r>
    </w:p>
    <w:p w14:paraId="770CEC28"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snapToGrid/>
        <w:spacing w:before="0" w:line="56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color w:val="auto"/>
          <w:highlight w:val="none"/>
        </w:rPr>
      </w:pPr>
      <w:r>
        <w:rPr>
          <w:rFonts w:hint="eastAsia" w:ascii="Times New Roman" w:hAnsi="Times New Roman" w:eastAsia="仿宋_GB2312"/>
          <w:color w:val="auto"/>
          <w:highlight w:val="none"/>
        </w:rPr>
        <w:t>毒死蜱，又名氯吡硫磷，是一种硫代磷酸酯类有机磷杀虫、杀螨剂，具有良好的触杀、胃毒和熏蒸作用。少量的农药残留不会引起人体急性中毒，但长期食用毒死蜱超标的食品，对人体健康可能有一定影响。根据《食品安全国家标准 食品中农药最大残留限量》（GB 2763）中规定，毒死蜱在菜薹中的最大残留限量为0.02mg/kg。</w:t>
      </w:r>
    </w:p>
    <w:p w14:paraId="19217554"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snapToGrid/>
        <w:spacing w:before="0" w:line="560" w:lineRule="exact"/>
        <w:ind w:left="0" w:firstLine="640" w:firstLineChars="200"/>
        <w:textAlignment w:val="auto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highlight w:val="none"/>
        </w:rPr>
        <w:t>本阶段，“区抽”食品安全监督抽检发现有1批次菜薹中毒死蜱超标，原因可能是农户在种植过程中为快速控制虫害，加大用药量或未遵守采摘间隔期规定，致使上市销售的产品中残留量超标。</w:t>
      </w:r>
    </w:p>
    <w:p w14:paraId="5817BAF7">
      <w:pPr>
        <w:pStyle w:val="2"/>
        <w:keepNext w:val="0"/>
        <w:keepLines w:val="0"/>
        <w:pageBreakBefore w:val="0"/>
        <w:numPr>
          <w:ilvl w:val="0"/>
          <w:numId w:val="1"/>
        </w:numPr>
        <w:kinsoku w:val="0"/>
        <w:wordWrap/>
        <w:overflowPunct w:val="0"/>
        <w:topLinePunct w:val="0"/>
        <w:autoSpaceDE w:val="0"/>
        <w:autoSpaceDN w:val="0"/>
        <w:bidi w:val="0"/>
        <w:snapToGrid/>
        <w:spacing w:before="157" w:beforeLines="50"/>
        <w:ind w:left="0" w:leftChars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auto"/>
          <w:highlight w:val="none"/>
        </w:rPr>
      </w:pPr>
      <w:r>
        <w:rPr>
          <w:rFonts w:hint="eastAsia" w:ascii="黑体" w:hAnsi="黑体" w:eastAsia="黑体"/>
          <w:b w:val="0"/>
          <w:bCs w:val="0"/>
          <w:color w:val="auto"/>
          <w:highlight w:val="none"/>
        </w:rPr>
        <w:t>甲拌磷</w:t>
      </w:r>
    </w:p>
    <w:p w14:paraId="76B36E7A"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snapToGrid/>
        <w:spacing w:before="0" w:line="56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color w:val="auto"/>
          <w:highlight w:val="none"/>
        </w:rPr>
      </w:pPr>
      <w:r>
        <w:rPr>
          <w:rFonts w:hint="eastAsia" w:ascii="Times New Roman" w:hAnsi="Times New Roman" w:eastAsia="仿宋_GB2312"/>
          <w:color w:val="auto"/>
          <w:highlight w:val="none"/>
        </w:rPr>
        <w:t>甲拌磷是一种高毒广谱的内吸性有机磷类杀虫剂，具有触杀、胃毒、熏蒸作用，对刺吸式口器和咀嚼式口器害虫均具有很好的防治作用。少量的残留不会引起人体急性中毒，但长期食用甲拌磷超标的食品，对人体健康可能有一定影响。根据《食品安全国家标准 食品中农药最大残留限量》（GB 2763）中规定，甲拌磷在胡萝卜中的最大残留限量为0.01mg/kg。</w:t>
      </w:r>
    </w:p>
    <w:p w14:paraId="3FFD113F"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snapToGrid/>
        <w:spacing w:before="0" w:line="56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color w:val="auto"/>
          <w:highlight w:val="none"/>
        </w:rPr>
      </w:pPr>
      <w:r>
        <w:rPr>
          <w:rFonts w:hint="eastAsia" w:ascii="Times New Roman" w:hAnsi="Times New Roman" w:eastAsia="仿宋_GB2312"/>
          <w:color w:val="auto"/>
          <w:highlight w:val="none"/>
        </w:rPr>
        <w:t>本阶段，“区抽”食品安全监督抽检发现有</w:t>
      </w:r>
      <w:r>
        <w:rPr>
          <w:rFonts w:hint="eastAsia" w:ascii="Times New Roman"/>
          <w:color w:val="auto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auto"/>
          <w:highlight w:val="none"/>
        </w:rPr>
        <w:t>批次胡萝卜中甲拌磷超标，原因可能是农户在种植过程中为快速控制虫害，加大用药量或未遵守采摘间隔期规定，致使上市销售的产品中残留量超标</w:t>
      </w:r>
    </w:p>
    <w:p w14:paraId="4A4778D5">
      <w:pPr>
        <w:pStyle w:val="2"/>
        <w:keepNext w:val="0"/>
        <w:keepLines w:val="0"/>
        <w:pageBreakBefore w:val="0"/>
        <w:numPr>
          <w:ilvl w:val="0"/>
          <w:numId w:val="1"/>
        </w:numPr>
        <w:kinsoku w:val="0"/>
        <w:wordWrap/>
        <w:overflowPunct w:val="0"/>
        <w:topLinePunct w:val="0"/>
        <w:autoSpaceDE w:val="0"/>
        <w:autoSpaceDN w:val="0"/>
        <w:bidi w:val="0"/>
        <w:snapToGrid/>
        <w:spacing w:before="157" w:beforeLines="50"/>
        <w:ind w:left="0" w:leftChars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auto"/>
          <w:highlight w:val="none"/>
        </w:rPr>
      </w:pPr>
      <w:r>
        <w:rPr>
          <w:rFonts w:hint="eastAsia" w:ascii="黑体" w:hAnsi="黑体" w:eastAsia="黑体"/>
          <w:b w:val="0"/>
          <w:bCs w:val="0"/>
          <w:color w:val="auto"/>
          <w:highlight w:val="none"/>
        </w:rPr>
        <w:t>氟苯尼考</w:t>
      </w:r>
    </w:p>
    <w:p w14:paraId="3FCB1AC6"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snapToGrid/>
        <w:spacing w:before="0" w:line="56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color w:val="auto"/>
          <w:highlight w:val="none"/>
        </w:rPr>
      </w:pPr>
      <w:r>
        <w:rPr>
          <w:rFonts w:hint="eastAsia" w:ascii="Times New Roman" w:hAnsi="Times New Roman" w:eastAsia="仿宋_GB2312"/>
          <w:color w:val="auto"/>
          <w:highlight w:val="none"/>
        </w:rPr>
        <w:t>氟苯尼考是一种广谱抗生素，常用于动物疾病防治，尤其是在食品动物中使用较为广泛。虽然氟苯尼考是农业部批准使用的动物专用抗菌药，但其残留可能对人体健康造成潜在威胁‌。根据《食品安全国家标准 食品中41种兽药最大残留限量》（GB 31650.1）中规定，氟苯尼考在鸡蛋中的最大残留限量值为10µg/kg。</w:t>
      </w:r>
    </w:p>
    <w:p w14:paraId="4616211A"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snapToGrid/>
        <w:spacing w:before="0" w:line="560" w:lineRule="exact"/>
        <w:ind w:left="0" w:firstLine="640" w:firstLineChars="200"/>
        <w:textAlignment w:val="auto"/>
        <w:rPr>
          <w:rFonts w:ascii="黑体" w:hAnsi="黑体" w:eastAsia="黑体"/>
        </w:rPr>
      </w:pPr>
      <w:r>
        <w:rPr>
          <w:rFonts w:hint="eastAsia" w:ascii="Times New Roman" w:hAnsi="Times New Roman" w:eastAsia="仿宋_GB2312"/>
          <w:color w:val="auto"/>
          <w:highlight w:val="none"/>
        </w:rPr>
        <w:t>本阶段，“区抽”食品安全监督抽检发现有1批次鸡蛋中氟苯尼考超标。超标原因可能是在养殖过程中为快速控制疫病，养殖户违规加大用药量或不遵守休药期规定，致使上市销售产品残留量超标。</w:t>
      </w:r>
    </w:p>
    <w:p w14:paraId="1E090908">
      <w:pPr>
        <w:pStyle w:val="2"/>
        <w:keepNext w:val="0"/>
        <w:keepLines w:val="0"/>
        <w:pageBreakBefore w:val="0"/>
        <w:numPr>
          <w:ilvl w:val="0"/>
          <w:numId w:val="1"/>
        </w:numPr>
        <w:kinsoku w:val="0"/>
        <w:wordWrap/>
        <w:overflowPunct w:val="0"/>
        <w:topLinePunct w:val="0"/>
        <w:autoSpaceDE w:val="0"/>
        <w:autoSpaceDN w:val="0"/>
        <w:bidi w:val="0"/>
        <w:snapToGrid/>
        <w:spacing w:before="157" w:beforeLines="50"/>
        <w:ind w:left="0" w:leftChars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auto"/>
          <w:highlight w:val="none"/>
        </w:rPr>
      </w:pPr>
      <w:r>
        <w:rPr>
          <w:rFonts w:hint="eastAsia" w:ascii="黑体" w:hAnsi="黑体" w:eastAsia="黑体"/>
          <w:b w:val="0"/>
          <w:bCs w:val="0"/>
          <w:color w:val="auto"/>
          <w:highlight w:val="none"/>
        </w:rPr>
        <w:t>柠檬黄</w:t>
      </w:r>
    </w:p>
    <w:p w14:paraId="4617F0B8"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snapToGrid/>
        <w:spacing w:before="0" w:line="56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color w:val="auto"/>
          <w:highlight w:val="none"/>
        </w:rPr>
      </w:pPr>
      <w:bookmarkStart w:id="2" w:name="OLE_LINK3"/>
      <w:r>
        <w:rPr>
          <w:rFonts w:hint="eastAsia" w:ascii="Times New Roman" w:hAnsi="Times New Roman" w:eastAsia="仿宋_GB2312"/>
          <w:color w:val="auto"/>
          <w:highlight w:val="none"/>
        </w:rPr>
        <w:t>柠檬黄</w:t>
      </w:r>
      <w:bookmarkEnd w:id="2"/>
      <w:r>
        <w:rPr>
          <w:rFonts w:hint="eastAsia" w:ascii="Times New Roman" w:hAnsi="Times New Roman" w:eastAsia="仿宋_GB2312"/>
          <w:color w:val="auto"/>
          <w:highlight w:val="none"/>
        </w:rPr>
        <w:t>是一种合成着色剂，它被广泛用于食品、饮料、药品和化妆品中，以增加产品的色泽。常用于饮料类配制酒、糖果、风味发酵乳、腌渍蔬菜、果冻、膨化食品等制品。然而，长期大量摄入柠檬黄可能会对身体产生一些负面影响。根据《食品安全国家标准 食品添加剂使用标准》（GB 2760）中规定，</w:t>
      </w:r>
      <w:bookmarkStart w:id="3" w:name="OLE_LINK5"/>
      <w:bookmarkStart w:id="4" w:name="OLE_LINK4"/>
      <w:r>
        <w:rPr>
          <w:rFonts w:hint="eastAsia" w:ascii="Times New Roman" w:hAnsi="Times New Roman" w:eastAsia="仿宋_GB2312"/>
          <w:color w:val="auto"/>
          <w:highlight w:val="none"/>
        </w:rPr>
        <w:t>柠檬黄</w:t>
      </w:r>
      <w:bookmarkEnd w:id="3"/>
      <w:bookmarkEnd w:id="4"/>
      <w:r>
        <w:rPr>
          <w:rFonts w:hint="eastAsia" w:ascii="Times New Roman" w:hAnsi="Times New Roman" w:eastAsia="仿宋_GB2312"/>
          <w:color w:val="auto"/>
          <w:highlight w:val="none"/>
        </w:rPr>
        <w:t>在糕点中不得检出。</w:t>
      </w:r>
    </w:p>
    <w:p w14:paraId="15CC2F19"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snapToGrid/>
        <w:spacing w:before="0" w:line="56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color w:val="auto"/>
          <w:highlight w:val="none"/>
        </w:rPr>
      </w:pPr>
      <w:r>
        <w:rPr>
          <w:rFonts w:hint="eastAsia" w:ascii="Times New Roman" w:hAnsi="Times New Roman" w:eastAsia="仿宋_GB2312"/>
          <w:color w:val="auto"/>
          <w:highlight w:val="none"/>
        </w:rPr>
        <w:t>本阶段，“区抽”食品安全监督抽检发现有</w:t>
      </w:r>
      <w:r>
        <w:rPr>
          <w:rFonts w:hint="eastAsia" w:ascii="Times New Roman"/>
          <w:color w:val="auto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auto"/>
          <w:highlight w:val="none"/>
        </w:rPr>
        <w:t>批次糕点中检出柠檬黄。超标原因可能是生产经营企业违规使用。</w:t>
      </w:r>
    </w:p>
    <w:p w14:paraId="14CD448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hint="eastAsia" w:ascii="Times New Roman" w:hAnsi="Times New Roman" w:eastAsia="仿宋_GB2312" w:cstheme="minorBidi"/>
          <w:kern w:val="2"/>
          <w:sz w:val="32"/>
          <w:szCs w:val="32"/>
          <w:highlight w:val="none"/>
          <w:lang w:val="en-US" w:eastAsia="zh-CN" w:bidi="ar-SA"/>
        </w:rPr>
      </w:pPr>
    </w:p>
    <w:p w14:paraId="27BF1000">
      <w:pPr>
        <w:pStyle w:val="2"/>
        <w:kinsoku w:val="0"/>
        <w:overflowPunct w:val="0"/>
        <w:spacing w:before="0"/>
        <w:ind w:left="0" w:firstLine="640" w:firstLineChars="200"/>
        <w:rPr>
          <w:rFonts w:ascii="Helvetica" w:hAnsi="Helvetica"/>
          <w:color w:val="auto"/>
          <w:shd w:val="clear" w:color="auto" w:fill="FFFFFF"/>
        </w:rPr>
      </w:pPr>
    </w:p>
    <w:p w14:paraId="7AA787B1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 w:bidi="ar"/>
        </w:rPr>
      </w:pPr>
    </w:p>
    <w:p w14:paraId="719E2142">
      <w:pPr>
        <w:pStyle w:val="13"/>
        <w:ind w:firstLine="640" w:firstLineChars="200"/>
        <w:rPr>
          <w:rFonts w:hint="eastAsia"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-SA"/>
        </w:rPr>
      </w:pPr>
    </w:p>
    <w:p w14:paraId="40D66D2F">
      <w:pPr>
        <w:pStyle w:val="13"/>
        <w:rPr>
          <w:color w:val="auto"/>
        </w:rPr>
      </w:pPr>
    </w:p>
    <w:p w14:paraId="670F2CF7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5" w:name="_GoBack"/>
      <w:bookmarkEnd w:id="5"/>
    </w:p>
    <w:sectPr>
      <w:footerReference r:id="rId3" w:type="default"/>
      <w:pgSz w:w="11906" w:h="16838"/>
      <w:pgMar w:top="1418" w:right="1418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814040"/>
    </w:sdtPr>
    <w:sdtContent>
      <w:p w14:paraId="3A9C9A87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339F0BBF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F2A99A"/>
    <w:multiLevelType w:val="singleLevel"/>
    <w:tmpl w:val="24F2A99A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kZTEyMDllYThlZmE4ZjllN2ViOGJiNzdkNmIzN2MifQ=="/>
  </w:docVars>
  <w:rsids>
    <w:rsidRoot w:val="0096133C"/>
    <w:rsid w:val="00000ACF"/>
    <w:rsid w:val="000F6BC0"/>
    <w:rsid w:val="0010028C"/>
    <w:rsid w:val="00135202"/>
    <w:rsid w:val="00152F66"/>
    <w:rsid w:val="001775EB"/>
    <w:rsid w:val="00186D8B"/>
    <w:rsid w:val="0019241C"/>
    <w:rsid w:val="00213EC3"/>
    <w:rsid w:val="00216ADD"/>
    <w:rsid w:val="0025700E"/>
    <w:rsid w:val="00294C79"/>
    <w:rsid w:val="002C4D13"/>
    <w:rsid w:val="002C4DBB"/>
    <w:rsid w:val="002D04C5"/>
    <w:rsid w:val="002E4E45"/>
    <w:rsid w:val="0033118D"/>
    <w:rsid w:val="0036336D"/>
    <w:rsid w:val="003A26C5"/>
    <w:rsid w:val="003C3275"/>
    <w:rsid w:val="003D517F"/>
    <w:rsid w:val="00425EBA"/>
    <w:rsid w:val="004D0EFA"/>
    <w:rsid w:val="004D5D6D"/>
    <w:rsid w:val="0050640B"/>
    <w:rsid w:val="005115B9"/>
    <w:rsid w:val="0052374F"/>
    <w:rsid w:val="00526CD5"/>
    <w:rsid w:val="00530A41"/>
    <w:rsid w:val="005E0EFC"/>
    <w:rsid w:val="005F291C"/>
    <w:rsid w:val="0065665C"/>
    <w:rsid w:val="00666E71"/>
    <w:rsid w:val="00681B01"/>
    <w:rsid w:val="006A7872"/>
    <w:rsid w:val="006E6803"/>
    <w:rsid w:val="006F4980"/>
    <w:rsid w:val="007045D5"/>
    <w:rsid w:val="00716DCA"/>
    <w:rsid w:val="007348FE"/>
    <w:rsid w:val="0075253F"/>
    <w:rsid w:val="00765186"/>
    <w:rsid w:val="00787D35"/>
    <w:rsid w:val="007A7366"/>
    <w:rsid w:val="007B3901"/>
    <w:rsid w:val="007D1F3A"/>
    <w:rsid w:val="008109EF"/>
    <w:rsid w:val="008354B6"/>
    <w:rsid w:val="00837B3E"/>
    <w:rsid w:val="00863B78"/>
    <w:rsid w:val="00893062"/>
    <w:rsid w:val="008946E9"/>
    <w:rsid w:val="008C33DC"/>
    <w:rsid w:val="008D77D2"/>
    <w:rsid w:val="008E2082"/>
    <w:rsid w:val="00945911"/>
    <w:rsid w:val="0096133C"/>
    <w:rsid w:val="00970A12"/>
    <w:rsid w:val="00970C27"/>
    <w:rsid w:val="0099555D"/>
    <w:rsid w:val="00995ADD"/>
    <w:rsid w:val="00A8183D"/>
    <w:rsid w:val="00AB4264"/>
    <w:rsid w:val="00AB46B0"/>
    <w:rsid w:val="00AB79EF"/>
    <w:rsid w:val="00AC3328"/>
    <w:rsid w:val="00AD0F64"/>
    <w:rsid w:val="00AF6A5B"/>
    <w:rsid w:val="00B07EBE"/>
    <w:rsid w:val="00B10AB5"/>
    <w:rsid w:val="00B13F93"/>
    <w:rsid w:val="00B3076D"/>
    <w:rsid w:val="00B71BD9"/>
    <w:rsid w:val="00B77BC6"/>
    <w:rsid w:val="00B82379"/>
    <w:rsid w:val="00BC5FFA"/>
    <w:rsid w:val="00BE778F"/>
    <w:rsid w:val="00C148B3"/>
    <w:rsid w:val="00C150FB"/>
    <w:rsid w:val="00C255D0"/>
    <w:rsid w:val="00C63155"/>
    <w:rsid w:val="00C70D05"/>
    <w:rsid w:val="00CE0CFA"/>
    <w:rsid w:val="00CE415A"/>
    <w:rsid w:val="00D51F21"/>
    <w:rsid w:val="00D7281C"/>
    <w:rsid w:val="00D74B3C"/>
    <w:rsid w:val="00D7586E"/>
    <w:rsid w:val="00D96363"/>
    <w:rsid w:val="00DC54A5"/>
    <w:rsid w:val="00E37D11"/>
    <w:rsid w:val="00E54BA5"/>
    <w:rsid w:val="00E57EDA"/>
    <w:rsid w:val="00E60982"/>
    <w:rsid w:val="00E6648D"/>
    <w:rsid w:val="00E94FA5"/>
    <w:rsid w:val="00EA1E26"/>
    <w:rsid w:val="00ED29F9"/>
    <w:rsid w:val="00F14D2D"/>
    <w:rsid w:val="00F16C4C"/>
    <w:rsid w:val="00F23D61"/>
    <w:rsid w:val="00F31F23"/>
    <w:rsid w:val="00F57794"/>
    <w:rsid w:val="00F63DBE"/>
    <w:rsid w:val="00F86C4F"/>
    <w:rsid w:val="00F94CCC"/>
    <w:rsid w:val="00FE29BE"/>
    <w:rsid w:val="00FE5458"/>
    <w:rsid w:val="01063F89"/>
    <w:rsid w:val="01583409"/>
    <w:rsid w:val="016719F6"/>
    <w:rsid w:val="016E1DC3"/>
    <w:rsid w:val="01724162"/>
    <w:rsid w:val="01BC6759"/>
    <w:rsid w:val="01E57082"/>
    <w:rsid w:val="025811AF"/>
    <w:rsid w:val="02665C60"/>
    <w:rsid w:val="02796DB9"/>
    <w:rsid w:val="029236DA"/>
    <w:rsid w:val="02AE3A3E"/>
    <w:rsid w:val="02D5588F"/>
    <w:rsid w:val="02E77F59"/>
    <w:rsid w:val="0319799E"/>
    <w:rsid w:val="036A7A9E"/>
    <w:rsid w:val="03C41A97"/>
    <w:rsid w:val="03CF3A69"/>
    <w:rsid w:val="03E05429"/>
    <w:rsid w:val="03F12ACF"/>
    <w:rsid w:val="03F94689"/>
    <w:rsid w:val="049937D5"/>
    <w:rsid w:val="05127845"/>
    <w:rsid w:val="058E37FD"/>
    <w:rsid w:val="05956162"/>
    <w:rsid w:val="05A83105"/>
    <w:rsid w:val="05AD4379"/>
    <w:rsid w:val="060600DF"/>
    <w:rsid w:val="060D0713"/>
    <w:rsid w:val="06305565"/>
    <w:rsid w:val="064C6A79"/>
    <w:rsid w:val="066A243D"/>
    <w:rsid w:val="06A60275"/>
    <w:rsid w:val="06A87687"/>
    <w:rsid w:val="06AD2B6A"/>
    <w:rsid w:val="06B6339C"/>
    <w:rsid w:val="06FE011C"/>
    <w:rsid w:val="0708246E"/>
    <w:rsid w:val="071B502C"/>
    <w:rsid w:val="074A3B33"/>
    <w:rsid w:val="07616654"/>
    <w:rsid w:val="076F306B"/>
    <w:rsid w:val="07736C6D"/>
    <w:rsid w:val="07963D53"/>
    <w:rsid w:val="079D70A7"/>
    <w:rsid w:val="07B758EC"/>
    <w:rsid w:val="07D52E95"/>
    <w:rsid w:val="07ED41BC"/>
    <w:rsid w:val="07FA2BA5"/>
    <w:rsid w:val="08052E55"/>
    <w:rsid w:val="080579CA"/>
    <w:rsid w:val="08116EB2"/>
    <w:rsid w:val="08207324"/>
    <w:rsid w:val="082B5C70"/>
    <w:rsid w:val="085D1113"/>
    <w:rsid w:val="086C0BB2"/>
    <w:rsid w:val="08710A07"/>
    <w:rsid w:val="0881297F"/>
    <w:rsid w:val="088339EE"/>
    <w:rsid w:val="089B6C6C"/>
    <w:rsid w:val="08C229DC"/>
    <w:rsid w:val="08D6424A"/>
    <w:rsid w:val="094124F8"/>
    <w:rsid w:val="095029B2"/>
    <w:rsid w:val="098552F9"/>
    <w:rsid w:val="098A4858"/>
    <w:rsid w:val="09A714A5"/>
    <w:rsid w:val="09B95EF4"/>
    <w:rsid w:val="09FB194E"/>
    <w:rsid w:val="0A20455F"/>
    <w:rsid w:val="0A496270"/>
    <w:rsid w:val="0A695059"/>
    <w:rsid w:val="0AE70938"/>
    <w:rsid w:val="0AF137F5"/>
    <w:rsid w:val="0B1858BA"/>
    <w:rsid w:val="0B7004B8"/>
    <w:rsid w:val="0B72497A"/>
    <w:rsid w:val="0BBE064B"/>
    <w:rsid w:val="0BE2260D"/>
    <w:rsid w:val="0C3A016B"/>
    <w:rsid w:val="0C605844"/>
    <w:rsid w:val="0C8053D7"/>
    <w:rsid w:val="0C8B0506"/>
    <w:rsid w:val="0CB8750C"/>
    <w:rsid w:val="0CE260BC"/>
    <w:rsid w:val="0CE30A2E"/>
    <w:rsid w:val="0D086A4A"/>
    <w:rsid w:val="0D2C55B8"/>
    <w:rsid w:val="0D426514"/>
    <w:rsid w:val="0D72640B"/>
    <w:rsid w:val="0DC0293B"/>
    <w:rsid w:val="0E217B30"/>
    <w:rsid w:val="0E282FB1"/>
    <w:rsid w:val="0E661195"/>
    <w:rsid w:val="0E864A02"/>
    <w:rsid w:val="0E99227D"/>
    <w:rsid w:val="0E9D1694"/>
    <w:rsid w:val="0EAF681B"/>
    <w:rsid w:val="0ECA5069"/>
    <w:rsid w:val="0F154060"/>
    <w:rsid w:val="0F227143"/>
    <w:rsid w:val="0F5E3A6B"/>
    <w:rsid w:val="0F85196D"/>
    <w:rsid w:val="0F8830AB"/>
    <w:rsid w:val="0FB774D9"/>
    <w:rsid w:val="0FC05C0E"/>
    <w:rsid w:val="0FEF609E"/>
    <w:rsid w:val="100923CC"/>
    <w:rsid w:val="10236EFE"/>
    <w:rsid w:val="107B3430"/>
    <w:rsid w:val="107C3299"/>
    <w:rsid w:val="10A42EC0"/>
    <w:rsid w:val="10D57136"/>
    <w:rsid w:val="10D9372D"/>
    <w:rsid w:val="10F45557"/>
    <w:rsid w:val="11004E72"/>
    <w:rsid w:val="1120613C"/>
    <w:rsid w:val="114A1C20"/>
    <w:rsid w:val="119648EF"/>
    <w:rsid w:val="122B4561"/>
    <w:rsid w:val="122C3CAB"/>
    <w:rsid w:val="12324C42"/>
    <w:rsid w:val="128F2DE0"/>
    <w:rsid w:val="12971BF6"/>
    <w:rsid w:val="12C301F3"/>
    <w:rsid w:val="12E05366"/>
    <w:rsid w:val="13217BBE"/>
    <w:rsid w:val="13592923"/>
    <w:rsid w:val="13A04141"/>
    <w:rsid w:val="13A459A8"/>
    <w:rsid w:val="13D86874"/>
    <w:rsid w:val="13EA2A63"/>
    <w:rsid w:val="14234CF7"/>
    <w:rsid w:val="14291E86"/>
    <w:rsid w:val="143148FC"/>
    <w:rsid w:val="144532AB"/>
    <w:rsid w:val="15457477"/>
    <w:rsid w:val="15941696"/>
    <w:rsid w:val="15AC5744"/>
    <w:rsid w:val="15AF2B02"/>
    <w:rsid w:val="16252980"/>
    <w:rsid w:val="162773E2"/>
    <w:rsid w:val="168B7430"/>
    <w:rsid w:val="1695753C"/>
    <w:rsid w:val="169F3076"/>
    <w:rsid w:val="16BB4564"/>
    <w:rsid w:val="16E9032C"/>
    <w:rsid w:val="16F166EF"/>
    <w:rsid w:val="16F51847"/>
    <w:rsid w:val="16FF1751"/>
    <w:rsid w:val="17145D6C"/>
    <w:rsid w:val="17175E74"/>
    <w:rsid w:val="172A5AA3"/>
    <w:rsid w:val="175246EA"/>
    <w:rsid w:val="176B244E"/>
    <w:rsid w:val="179D1EA6"/>
    <w:rsid w:val="17BE507F"/>
    <w:rsid w:val="184B6A09"/>
    <w:rsid w:val="185354DF"/>
    <w:rsid w:val="18566C19"/>
    <w:rsid w:val="185E7EEB"/>
    <w:rsid w:val="18BD356B"/>
    <w:rsid w:val="1936091E"/>
    <w:rsid w:val="194224A0"/>
    <w:rsid w:val="19481F81"/>
    <w:rsid w:val="195A6DE8"/>
    <w:rsid w:val="19993588"/>
    <w:rsid w:val="1A0700B9"/>
    <w:rsid w:val="1A0D01C1"/>
    <w:rsid w:val="1A294613"/>
    <w:rsid w:val="1A4563DB"/>
    <w:rsid w:val="1A7425CD"/>
    <w:rsid w:val="1A7B16B4"/>
    <w:rsid w:val="1AA56A3C"/>
    <w:rsid w:val="1AB9456C"/>
    <w:rsid w:val="1AE532D6"/>
    <w:rsid w:val="1B1078D4"/>
    <w:rsid w:val="1B573C09"/>
    <w:rsid w:val="1BA921A5"/>
    <w:rsid w:val="1BF06A41"/>
    <w:rsid w:val="1C3A116B"/>
    <w:rsid w:val="1C3E0758"/>
    <w:rsid w:val="1C630313"/>
    <w:rsid w:val="1C716024"/>
    <w:rsid w:val="1C7D567F"/>
    <w:rsid w:val="1C8F25F8"/>
    <w:rsid w:val="1C931680"/>
    <w:rsid w:val="1C9461B4"/>
    <w:rsid w:val="1C9B7729"/>
    <w:rsid w:val="1CAF4CA8"/>
    <w:rsid w:val="1CCF15EF"/>
    <w:rsid w:val="1CDF1D98"/>
    <w:rsid w:val="1D116DEF"/>
    <w:rsid w:val="1D27778B"/>
    <w:rsid w:val="1D6D414B"/>
    <w:rsid w:val="1D8E3FE2"/>
    <w:rsid w:val="1DA92BB1"/>
    <w:rsid w:val="1E663734"/>
    <w:rsid w:val="1E902F55"/>
    <w:rsid w:val="1EB87A5C"/>
    <w:rsid w:val="1F0A2350"/>
    <w:rsid w:val="1F121BFA"/>
    <w:rsid w:val="1F461181"/>
    <w:rsid w:val="1F6C6631"/>
    <w:rsid w:val="1F6D440A"/>
    <w:rsid w:val="1F8D4F9A"/>
    <w:rsid w:val="1F994E33"/>
    <w:rsid w:val="1FA32201"/>
    <w:rsid w:val="202A76C9"/>
    <w:rsid w:val="2048320F"/>
    <w:rsid w:val="207B46CD"/>
    <w:rsid w:val="20C37776"/>
    <w:rsid w:val="20D07229"/>
    <w:rsid w:val="211A0DC1"/>
    <w:rsid w:val="2120257D"/>
    <w:rsid w:val="212B1032"/>
    <w:rsid w:val="21412FA0"/>
    <w:rsid w:val="214E2B5A"/>
    <w:rsid w:val="215441BB"/>
    <w:rsid w:val="21687931"/>
    <w:rsid w:val="216B6728"/>
    <w:rsid w:val="217E1A3F"/>
    <w:rsid w:val="21812DF5"/>
    <w:rsid w:val="22013EF2"/>
    <w:rsid w:val="225B679C"/>
    <w:rsid w:val="228850B7"/>
    <w:rsid w:val="228C25B5"/>
    <w:rsid w:val="22915559"/>
    <w:rsid w:val="22C25E55"/>
    <w:rsid w:val="22CC5776"/>
    <w:rsid w:val="22CF2CE6"/>
    <w:rsid w:val="22FD202E"/>
    <w:rsid w:val="23066F32"/>
    <w:rsid w:val="230A249A"/>
    <w:rsid w:val="231057D9"/>
    <w:rsid w:val="234C63E8"/>
    <w:rsid w:val="23970B0E"/>
    <w:rsid w:val="23A3664D"/>
    <w:rsid w:val="23DF164F"/>
    <w:rsid w:val="244119C2"/>
    <w:rsid w:val="24C90335"/>
    <w:rsid w:val="24CE3862"/>
    <w:rsid w:val="24F459A5"/>
    <w:rsid w:val="25053C58"/>
    <w:rsid w:val="254A77C2"/>
    <w:rsid w:val="258444AA"/>
    <w:rsid w:val="25A6439C"/>
    <w:rsid w:val="25B87750"/>
    <w:rsid w:val="25C05826"/>
    <w:rsid w:val="25D93DCD"/>
    <w:rsid w:val="25DF0A5F"/>
    <w:rsid w:val="261B7905"/>
    <w:rsid w:val="26256C3C"/>
    <w:rsid w:val="262D09F0"/>
    <w:rsid w:val="26411D71"/>
    <w:rsid w:val="26751271"/>
    <w:rsid w:val="26791371"/>
    <w:rsid w:val="26823D6B"/>
    <w:rsid w:val="26846DDF"/>
    <w:rsid w:val="26B5724B"/>
    <w:rsid w:val="26C65337"/>
    <w:rsid w:val="26E17D3C"/>
    <w:rsid w:val="270F4132"/>
    <w:rsid w:val="273336B6"/>
    <w:rsid w:val="273D1989"/>
    <w:rsid w:val="274E1789"/>
    <w:rsid w:val="27546835"/>
    <w:rsid w:val="27D843EB"/>
    <w:rsid w:val="27F80C31"/>
    <w:rsid w:val="286F7C9A"/>
    <w:rsid w:val="28954B12"/>
    <w:rsid w:val="28A93CA8"/>
    <w:rsid w:val="28E61F41"/>
    <w:rsid w:val="29A23D4C"/>
    <w:rsid w:val="29B843B4"/>
    <w:rsid w:val="29CA7550"/>
    <w:rsid w:val="29D158B4"/>
    <w:rsid w:val="29E20AEA"/>
    <w:rsid w:val="2A54691B"/>
    <w:rsid w:val="2A893CC8"/>
    <w:rsid w:val="2AC15788"/>
    <w:rsid w:val="2AF91807"/>
    <w:rsid w:val="2B03429B"/>
    <w:rsid w:val="2C111BFD"/>
    <w:rsid w:val="2C696616"/>
    <w:rsid w:val="2C907923"/>
    <w:rsid w:val="2CBA526C"/>
    <w:rsid w:val="2CDB4F5C"/>
    <w:rsid w:val="2D611D2A"/>
    <w:rsid w:val="2D715252"/>
    <w:rsid w:val="2D7C121B"/>
    <w:rsid w:val="2D960FD0"/>
    <w:rsid w:val="2DEF02CB"/>
    <w:rsid w:val="2E4C2A64"/>
    <w:rsid w:val="2E9279E9"/>
    <w:rsid w:val="2EA12B9B"/>
    <w:rsid w:val="2ECB6DBD"/>
    <w:rsid w:val="2EEB16FD"/>
    <w:rsid w:val="2EED3D6C"/>
    <w:rsid w:val="2EFC4E63"/>
    <w:rsid w:val="2F050E8D"/>
    <w:rsid w:val="2F0D2ABF"/>
    <w:rsid w:val="2F104B00"/>
    <w:rsid w:val="2F375B6C"/>
    <w:rsid w:val="2F3B349B"/>
    <w:rsid w:val="2FD42966"/>
    <w:rsid w:val="300C3D4B"/>
    <w:rsid w:val="30361FDA"/>
    <w:rsid w:val="30560824"/>
    <w:rsid w:val="30A01227"/>
    <w:rsid w:val="30AC4667"/>
    <w:rsid w:val="314A1CB1"/>
    <w:rsid w:val="315076E8"/>
    <w:rsid w:val="31522895"/>
    <w:rsid w:val="318F27FC"/>
    <w:rsid w:val="31A7138C"/>
    <w:rsid w:val="31B4700C"/>
    <w:rsid w:val="31BE4652"/>
    <w:rsid w:val="31C54436"/>
    <w:rsid w:val="31ED1D5A"/>
    <w:rsid w:val="31FA134F"/>
    <w:rsid w:val="320144F4"/>
    <w:rsid w:val="320B6CC5"/>
    <w:rsid w:val="321D251E"/>
    <w:rsid w:val="329239B6"/>
    <w:rsid w:val="32963435"/>
    <w:rsid w:val="32B829E5"/>
    <w:rsid w:val="32E77D9B"/>
    <w:rsid w:val="32EF079D"/>
    <w:rsid w:val="32F860CE"/>
    <w:rsid w:val="331B3913"/>
    <w:rsid w:val="334A60C8"/>
    <w:rsid w:val="33521D84"/>
    <w:rsid w:val="33A61301"/>
    <w:rsid w:val="33D07732"/>
    <w:rsid w:val="33FB1C42"/>
    <w:rsid w:val="34207846"/>
    <w:rsid w:val="342E2692"/>
    <w:rsid w:val="343F3BB6"/>
    <w:rsid w:val="34404694"/>
    <w:rsid w:val="34473776"/>
    <w:rsid w:val="34487019"/>
    <w:rsid w:val="34491846"/>
    <w:rsid w:val="34813DCE"/>
    <w:rsid w:val="34BC5AA2"/>
    <w:rsid w:val="34F90AB2"/>
    <w:rsid w:val="350F76F4"/>
    <w:rsid w:val="351228FE"/>
    <w:rsid w:val="352C250F"/>
    <w:rsid w:val="35535C24"/>
    <w:rsid w:val="35620B43"/>
    <w:rsid w:val="356B5D51"/>
    <w:rsid w:val="356C6798"/>
    <w:rsid w:val="35793FB4"/>
    <w:rsid w:val="357B5E2E"/>
    <w:rsid w:val="35841E3C"/>
    <w:rsid w:val="35981E2C"/>
    <w:rsid w:val="35D661B7"/>
    <w:rsid w:val="35EE59A8"/>
    <w:rsid w:val="35FD2511"/>
    <w:rsid w:val="362563EB"/>
    <w:rsid w:val="365A550F"/>
    <w:rsid w:val="36865AE3"/>
    <w:rsid w:val="36A62454"/>
    <w:rsid w:val="36B03CA1"/>
    <w:rsid w:val="36DD5106"/>
    <w:rsid w:val="36F7487B"/>
    <w:rsid w:val="36FB44D7"/>
    <w:rsid w:val="37001D7C"/>
    <w:rsid w:val="377F074E"/>
    <w:rsid w:val="37831730"/>
    <w:rsid w:val="37873257"/>
    <w:rsid w:val="37D87726"/>
    <w:rsid w:val="37F75358"/>
    <w:rsid w:val="381012E5"/>
    <w:rsid w:val="38127F2B"/>
    <w:rsid w:val="381C2D8A"/>
    <w:rsid w:val="3864337E"/>
    <w:rsid w:val="386E06B2"/>
    <w:rsid w:val="38760994"/>
    <w:rsid w:val="38804E29"/>
    <w:rsid w:val="38A221F4"/>
    <w:rsid w:val="38AF4CBE"/>
    <w:rsid w:val="38E42223"/>
    <w:rsid w:val="39274475"/>
    <w:rsid w:val="392F1F9F"/>
    <w:rsid w:val="39A3297E"/>
    <w:rsid w:val="39F224F8"/>
    <w:rsid w:val="3AAD7AAF"/>
    <w:rsid w:val="3ABB02C8"/>
    <w:rsid w:val="3AD76809"/>
    <w:rsid w:val="3B057795"/>
    <w:rsid w:val="3B245E6D"/>
    <w:rsid w:val="3B317405"/>
    <w:rsid w:val="3B413712"/>
    <w:rsid w:val="3BA50630"/>
    <w:rsid w:val="3BA86785"/>
    <w:rsid w:val="3BD656F4"/>
    <w:rsid w:val="3BDE1420"/>
    <w:rsid w:val="3C2220F5"/>
    <w:rsid w:val="3C3846ED"/>
    <w:rsid w:val="3C7452C4"/>
    <w:rsid w:val="3C7E1D30"/>
    <w:rsid w:val="3C9268DD"/>
    <w:rsid w:val="3C9D47AE"/>
    <w:rsid w:val="3CD26590"/>
    <w:rsid w:val="3CD66383"/>
    <w:rsid w:val="3CDD6481"/>
    <w:rsid w:val="3CFC382E"/>
    <w:rsid w:val="3D166468"/>
    <w:rsid w:val="3D1F5E44"/>
    <w:rsid w:val="3D8C1AA8"/>
    <w:rsid w:val="3D911030"/>
    <w:rsid w:val="3D9E0A99"/>
    <w:rsid w:val="3DF123FF"/>
    <w:rsid w:val="3EA26D95"/>
    <w:rsid w:val="3EBF3893"/>
    <w:rsid w:val="3EE42F72"/>
    <w:rsid w:val="3EF50C5D"/>
    <w:rsid w:val="3F3A01BB"/>
    <w:rsid w:val="3F590057"/>
    <w:rsid w:val="3F717722"/>
    <w:rsid w:val="3F954E8E"/>
    <w:rsid w:val="3F987279"/>
    <w:rsid w:val="3F9D6AB3"/>
    <w:rsid w:val="3FC27854"/>
    <w:rsid w:val="3FC54EA7"/>
    <w:rsid w:val="3FF94B20"/>
    <w:rsid w:val="3FFB2F15"/>
    <w:rsid w:val="40200C8E"/>
    <w:rsid w:val="403760AE"/>
    <w:rsid w:val="40966ED7"/>
    <w:rsid w:val="40D472EB"/>
    <w:rsid w:val="416F38A2"/>
    <w:rsid w:val="41BF4371"/>
    <w:rsid w:val="42180B39"/>
    <w:rsid w:val="422C263D"/>
    <w:rsid w:val="422E32C8"/>
    <w:rsid w:val="424633F5"/>
    <w:rsid w:val="42475FE6"/>
    <w:rsid w:val="43027A14"/>
    <w:rsid w:val="4346788B"/>
    <w:rsid w:val="43485464"/>
    <w:rsid w:val="434E3083"/>
    <w:rsid w:val="437379FD"/>
    <w:rsid w:val="4376166F"/>
    <w:rsid w:val="43E62BC2"/>
    <w:rsid w:val="441476A7"/>
    <w:rsid w:val="442E3B75"/>
    <w:rsid w:val="446333AD"/>
    <w:rsid w:val="44A86BFD"/>
    <w:rsid w:val="44B535CA"/>
    <w:rsid w:val="44D66F7A"/>
    <w:rsid w:val="44F41C5E"/>
    <w:rsid w:val="45022447"/>
    <w:rsid w:val="45226793"/>
    <w:rsid w:val="455D2839"/>
    <w:rsid w:val="457319E7"/>
    <w:rsid w:val="45900493"/>
    <w:rsid w:val="45A528B7"/>
    <w:rsid w:val="45A9716B"/>
    <w:rsid w:val="45BF414E"/>
    <w:rsid w:val="45C20E9E"/>
    <w:rsid w:val="45FF365E"/>
    <w:rsid w:val="46064935"/>
    <w:rsid w:val="46295CD3"/>
    <w:rsid w:val="462F3918"/>
    <w:rsid w:val="464C65F8"/>
    <w:rsid w:val="46E356D8"/>
    <w:rsid w:val="46E91EF1"/>
    <w:rsid w:val="46F93091"/>
    <w:rsid w:val="47547FAB"/>
    <w:rsid w:val="4784082F"/>
    <w:rsid w:val="47C91115"/>
    <w:rsid w:val="47F33E83"/>
    <w:rsid w:val="4817275E"/>
    <w:rsid w:val="481D7530"/>
    <w:rsid w:val="48537B8B"/>
    <w:rsid w:val="489020E7"/>
    <w:rsid w:val="489308EE"/>
    <w:rsid w:val="48CF0112"/>
    <w:rsid w:val="48E45016"/>
    <w:rsid w:val="48E74B8B"/>
    <w:rsid w:val="49003C4E"/>
    <w:rsid w:val="490B67A8"/>
    <w:rsid w:val="4924500F"/>
    <w:rsid w:val="49462B27"/>
    <w:rsid w:val="494F6921"/>
    <w:rsid w:val="49717D67"/>
    <w:rsid w:val="49926875"/>
    <w:rsid w:val="49AC6DAB"/>
    <w:rsid w:val="49B615AE"/>
    <w:rsid w:val="49D7251E"/>
    <w:rsid w:val="49E8275C"/>
    <w:rsid w:val="4A6318AF"/>
    <w:rsid w:val="4AD73C2A"/>
    <w:rsid w:val="4AD91237"/>
    <w:rsid w:val="4AFB09EF"/>
    <w:rsid w:val="4B0A7982"/>
    <w:rsid w:val="4B154506"/>
    <w:rsid w:val="4B216904"/>
    <w:rsid w:val="4B6F0FB6"/>
    <w:rsid w:val="4B944949"/>
    <w:rsid w:val="4B9D39E3"/>
    <w:rsid w:val="4B9E5B23"/>
    <w:rsid w:val="4BA11555"/>
    <w:rsid w:val="4BC3599F"/>
    <w:rsid w:val="4BC651C9"/>
    <w:rsid w:val="4C191E59"/>
    <w:rsid w:val="4C3E2B07"/>
    <w:rsid w:val="4C8C0BFE"/>
    <w:rsid w:val="4C9417BE"/>
    <w:rsid w:val="4CCB4986"/>
    <w:rsid w:val="4D017EE9"/>
    <w:rsid w:val="4D2676C6"/>
    <w:rsid w:val="4D963856"/>
    <w:rsid w:val="4DA85000"/>
    <w:rsid w:val="4DDE6CE3"/>
    <w:rsid w:val="4DF45ED0"/>
    <w:rsid w:val="4DFE555A"/>
    <w:rsid w:val="4E52615D"/>
    <w:rsid w:val="4E7B02EE"/>
    <w:rsid w:val="4EAD3D55"/>
    <w:rsid w:val="4F3240FF"/>
    <w:rsid w:val="4F61642A"/>
    <w:rsid w:val="4FB05807"/>
    <w:rsid w:val="4FB6424B"/>
    <w:rsid w:val="4FFB5884"/>
    <w:rsid w:val="507C7A68"/>
    <w:rsid w:val="507D03C6"/>
    <w:rsid w:val="50AB003F"/>
    <w:rsid w:val="50AB27AE"/>
    <w:rsid w:val="50DA1EFD"/>
    <w:rsid w:val="5103726B"/>
    <w:rsid w:val="5105552B"/>
    <w:rsid w:val="510D5BF6"/>
    <w:rsid w:val="512C42CC"/>
    <w:rsid w:val="514A4D57"/>
    <w:rsid w:val="51610C6B"/>
    <w:rsid w:val="519C7C48"/>
    <w:rsid w:val="52374355"/>
    <w:rsid w:val="524B1ADA"/>
    <w:rsid w:val="52581104"/>
    <w:rsid w:val="525C6FFC"/>
    <w:rsid w:val="5265579F"/>
    <w:rsid w:val="52831923"/>
    <w:rsid w:val="52906DE8"/>
    <w:rsid w:val="52966BF2"/>
    <w:rsid w:val="52994CA8"/>
    <w:rsid w:val="52B32810"/>
    <w:rsid w:val="52C35B14"/>
    <w:rsid w:val="52C61719"/>
    <w:rsid w:val="52CE6A38"/>
    <w:rsid w:val="53030BFD"/>
    <w:rsid w:val="530C185F"/>
    <w:rsid w:val="535673AF"/>
    <w:rsid w:val="536A3D92"/>
    <w:rsid w:val="537312E8"/>
    <w:rsid w:val="53A94D0A"/>
    <w:rsid w:val="53ED098A"/>
    <w:rsid w:val="540520D7"/>
    <w:rsid w:val="54083235"/>
    <w:rsid w:val="542310A2"/>
    <w:rsid w:val="543E4C7F"/>
    <w:rsid w:val="545509EE"/>
    <w:rsid w:val="54691B2A"/>
    <w:rsid w:val="549E641B"/>
    <w:rsid w:val="54CE6466"/>
    <w:rsid w:val="54D97192"/>
    <w:rsid w:val="54DA713E"/>
    <w:rsid w:val="554B0C25"/>
    <w:rsid w:val="55732602"/>
    <w:rsid w:val="55CA5055"/>
    <w:rsid w:val="560350A8"/>
    <w:rsid w:val="56887AAD"/>
    <w:rsid w:val="56DA50B2"/>
    <w:rsid w:val="56E96D3D"/>
    <w:rsid w:val="56EA1292"/>
    <w:rsid w:val="56FA7D4A"/>
    <w:rsid w:val="570A0AA2"/>
    <w:rsid w:val="57505D75"/>
    <w:rsid w:val="575443EE"/>
    <w:rsid w:val="577A3614"/>
    <w:rsid w:val="578709A6"/>
    <w:rsid w:val="57A46B1D"/>
    <w:rsid w:val="57B36BA7"/>
    <w:rsid w:val="57B72DE7"/>
    <w:rsid w:val="57CB3EF1"/>
    <w:rsid w:val="5803089C"/>
    <w:rsid w:val="58237161"/>
    <w:rsid w:val="58274F39"/>
    <w:rsid w:val="584C0508"/>
    <w:rsid w:val="586C27AA"/>
    <w:rsid w:val="587E7855"/>
    <w:rsid w:val="58964CA3"/>
    <w:rsid w:val="58A61818"/>
    <w:rsid w:val="58B2432C"/>
    <w:rsid w:val="590066E4"/>
    <w:rsid w:val="59111CD9"/>
    <w:rsid w:val="592226A6"/>
    <w:rsid w:val="59250D9E"/>
    <w:rsid w:val="595F3395"/>
    <w:rsid w:val="597177C9"/>
    <w:rsid w:val="59DC7588"/>
    <w:rsid w:val="59ED42DC"/>
    <w:rsid w:val="5A1922B1"/>
    <w:rsid w:val="5A25410A"/>
    <w:rsid w:val="5A392E32"/>
    <w:rsid w:val="5A562652"/>
    <w:rsid w:val="5ABD645D"/>
    <w:rsid w:val="5ADC1E6A"/>
    <w:rsid w:val="5B361CC4"/>
    <w:rsid w:val="5B394BAE"/>
    <w:rsid w:val="5B506601"/>
    <w:rsid w:val="5B595976"/>
    <w:rsid w:val="5B6446B7"/>
    <w:rsid w:val="5B70794E"/>
    <w:rsid w:val="5B955B74"/>
    <w:rsid w:val="5BB66779"/>
    <w:rsid w:val="5BFF3F86"/>
    <w:rsid w:val="5C21428C"/>
    <w:rsid w:val="5C3E52F0"/>
    <w:rsid w:val="5C9A40C7"/>
    <w:rsid w:val="5CA52605"/>
    <w:rsid w:val="5DA61DC0"/>
    <w:rsid w:val="5DF272AD"/>
    <w:rsid w:val="5E08087F"/>
    <w:rsid w:val="5E576BB9"/>
    <w:rsid w:val="5E6C6E8B"/>
    <w:rsid w:val="5EAC200C"/>
    <w:rsid w:val="5ED519FF"/>
    <w:rsid w:val="5F1020E1"/>
    <w:rsid w:val="5F1119B5"/>
    <w:rsid w:val="5F44498D"/>
    <w:rsid w:val="5F714AF6"/>
    <w:rsid w:val="5F792590"/>
    <w:rsid w:val="5F7B39A8"/>
    <w:rsid w:val="5F9A714C"/>
    <w:rsid w:val="5FAF68D6"/>
    <w:rsid w:val="5FF54B97"/>
    <w:rsid w:val="5FF92EBA"/>
    <w:rsid w:val="601D5BCF"/>
    <w:rsid w:val="601E3906"/>
    <w:rsid w:val="60624676"/>
    <w:rsid w:val="606839CF"/>
    <w:rsid w:val="60882200"/>
    <w:rsid w:val="60B3748A"/>
    <w:rsid w:val="60B674EF"/>
    <w:rsid w:val="60D727CA"/>
    <w:rsid w:val="60D93375"/>
    <w:rsid w:val="60EC26DA"/>
    <w:rsid w:val="6126799A"/>
    <w:rsid w:val="615A429F"/>
    <w:rsid w:val="619426AD"/>
    <w:rsid w:val="61BC727B"/>
    <w:rsid w:val="623414C9"/>
    <w:rsid w:val="625B281F"/>
    <w:rsid w:val="62E437B1"/>
    <w:rsid w:val="62E75810"/>
    <w:rsid w:val="63052BD7"/>
    <w:rsid w:val="6328411C"/>
    <w:rsid w:val="63431CA7"/>
    <w:rsid w:val="635C5093"/>
    <w:rsid w:val="63C77B1F"/>
    <w:rsid w:val="64115DC4"/>
    <w:rsid w:val="64231FC6"/>
    <w:rsid w:val="64446C32"/>
    <w:rsid w:val="64452D2E"/>
    <w:rsid w:val="645A795A"/>
    <w:rsid w:val="6461472A"/>
    <w:rsid w:val="6472552C"/>
    <w:rsid w:val="64760B36"/>
    <w:rsid w:val="64E27E2D"/>
    <w:rsid w:val="65170FD1"/>
    <w:rsid w:val="65190981"/>
    <w:rsid w:val="65420B1A"/>
    <w:rsid w:val="65437240"/>
    <w:rsid w:val="657436C5"/>
    <w:rsid w:val="6586495A"/>
    <w:rsid w:val="659A3B5C"/>
    <w:rsid w:val="65B27D9D"/>
    <w:rsid w:val="65C31D7D"/>
    <w:rsid w:val="65C77BFA"/>
    <w:rsid w:val="65DB63B9"/>
    <w:rsid w:val="65F20792"/>
    <w:rsid w:val="6609336E"/>
    <w:rsid w:val="663158C4"/>
    <w:rsid w:val="666A7CC9"/>
    <w:rsid w:val="66A11624"/>
    <w:rsid w:val="66A17201"/>
    <w:rsid w:val="66B72B7D"/>
    <w:rsid w:val="66C34F7D"/>
    <w:rsid w:val="67121BFF"/>
    <w:rsid w:val="67247867"/>
    <w:rsid w:val="673F17B5"/>
    <w:rsid w:val="677B24FE"/>
    <w:rsid w:val="67CC5ECB"/>
    <w:rsid w:val="67FD5103"/>
    <w:rsid w:val="68470119"/>
    <w:rsid w:val="684C1AB9"/>
    <w:rsid w:val="686C04B2"/>
    <w:rsid w:val="689D2B3F"/>
    <w:rsid w:val="68F32997"/>
    <w:rsid w:val="6917467F"/>
    <w:rsid w:val="69342583"/>
    <w:rsid w:val="69654FCE"/>
    <w:rsid w:val="6981227B"/>
    <w:rsid w:val="69C412F5"/>
    <w:rsid w:val="69EB68CA"/>
    <w:rsid w:val="69EE2B3D"/>
    <w:rsid w:val="6A003E69"/>
    <w:rsid w:val="6A066D1C"/>
    <w:rsid w:val="6A1E3959"/>
    <w:rsid w:val="6A3A7515"/>
    <w:rsid w:val="6A574350"/>
    <w:rsid w:val="6A717F09"/>
    <w:rsid w:val="6A731776"/>
    <w:rsid w:val="6A7A0D56"/>
    <w:rsid w:val="6A836E23"/>
    <w:rsid w:val="6AA7186A"/>
    <w:rsid w:val="6AB4419B"/>
    <w:rsid w:val="6AF6FF31"/>
    <w:rsid w:val="6AFE0987"/>
    <w:rsid w:val="6B1161E6"/>
    <w:rsid w:val="6B2A45F8"/>
    <w:rsid w:val="6B3E65AC"/>
    <w:rsid w:val="6B462C2A"/>
    <w:rsid w:val="6B625393"/>
    <w:rsid w:val="6B6F26C3"/>
    <w:rsid w:val="6BC47261"/>
    <w:rsid w:val="6BF10204"/>
    <w:rsid w:val="6BF647F0"/>
    <w:rsid w:val="6C07718F"/>
    <w:rsid w:val="6C282C14"/>
    <w:rsid w:val="6C9B7D08"/>
    <w:rsid w:val="6D076968"/>
    <w:rsid w:val="6D2C33FA"/>
    <w:rsid w:val="6D3C22F3"/>
    <w:rsid w:val="6D40141D"/>
    <w:rsid w:val="6D4E13DE"/>
    <w:rsid w:val="6D5B6251"/>
    <w:rsid w:val="6D842B99"/>
    <w:rsid w:val="6D8B6DD7"/>
    <w:rsid w:val="6DAD74CE"/>
    <w:rsid w:val="6DF42E36"/>
    <w:rsid w:val="6E031C89"/>
    <w:rsid w:val="6E5213B0"/>
    <w:rsid w:val="6E7C32EF"/>
    <w:rsid w:val="6E877185"/>
    <w:rsid w:val="6E8E182D"/>
    <w:rsid w:val="6E982C53"/>
    <w:rsid w:val="6EA52FE5"/>
    <w:rsid w:val="6EA61753"/>
    <w:rsid w:val="6EB05630"/>
    <w:rsid w:val="6EC425A0"/>
    <w:rsid w:val="6EC57A9F"/>
    <w:rsid w:val="6ECD4E5E"/>
    <w:rsid w:val="6F6B45C2"/>
    <w:rsid w:val="6F6F19CD"/>
    <w:rsid w:val="6F9739F5"/>
    <w:rsid w:val="6FBE2299"/>
    <w:rsid w:val="6FE401D8"/>
    <w:rsid w:val="6FFD4CE3"/>
    <w:rsid w:val="702B214E"/>
    <w:rsid w:val="70311EB7"/>
    <w:rsid w:val="704368F9"/>
    <w:rsid w:val="704D548E"/>
    <w:rsid w:val="70886A75"/>
    <w:rsid w:val="709E3C78"/>
    <w:rsid w:val="70B43CCD"/>
    <w:rsid w:val="70BC2A8C"/>
    <w:rsid w:val="70E05C63"/>
    <w:rsid w:val="71280E2B"/>
    <w:rsid w:val="71414D2B"/>
    <w:rsid w:val="71553388"/>
    <w:rsid w:val="715C5E8E"/>
    <w:rsid w:val="71956476"/>
    <w:rsid w:val="7230479C"/>
    <w:rsid w:val="723E2CCE"/>
    <w:rsid w:val="725A2601"/>
    <w:rsid w:val="725E3D86"/>
    <w:rsid w:val="727232AF"/>
    <w:rsid w:val="72DB37BD"/>
    <w:rsid w:val="73044C21"/>
    <w:rsid w:val="731426EB"/>
    <w:rsid w:val="73494F39"/>
    <w:rsid w:val="734E2A9C"/>
    <w:rsid w:val="735D1065"/>
    <w:rsid w:val="738B241F"/>
    <w:rsid w:val="738B59EF"/>
    <w:rsid w:val="738C6776"/>
    <w:rsid w:val="738E1C45"/>
    <w:rsid w:val="738E1F50"/>
    <w:rsid w:val="739764D5"/>
    <w:rsid w:val="73980CF7"/>
    <w:rsid w:val="739B0F2D"/>
    <w:rsid w:val="73AC7D21"/>
    <w:rsid w:val="73B86C2F"/>
    <w:rsid w:val="743E6807"/>
    <w:rsid w:val="74746816"/>
    <w:rsid w:val="74747673"/>
    <w:rsid w:val="74C50E20"/>
    <w:rsid w:val="74D96956"/>
    <w:rsid w:val="756B1735"/>
    <w:rsid w:val="75CE4ADE"/>
    <w:rsid w:val="75ED7121"/>
    <w:rsid w:val="760A0265"/>
    <w:rsid w:val="7615634B"/>
    <w:rsid w:val="76176E79"/>
    <w:rsid w:val="76191423"/>
    <w:rsid w:val="76261D92"/>
    <w:rsid w:val="763F6119"/>
    <w:rsid w:val="76625AA3"/>
    <w:rsid w:val="76904A8D"/>
    <w:rsid w:val="76F51E90"/>
    <w:rsid w:val="77425AAC"/>
    <w:rsid w:val="77585332"/>
    <w:rsid w:val="775E1C84"/>
    <w:rsid w:val="775F4F55"/>
    <w:rsid w:val="776910EF"/>
    <w:rsid w:val="77845AF4"/>
    <w:rsid w:val="779E6679"/>
    <w:rsid w:val="77AF7933"/>
    <w:rsid w:val="77EA751B"/>
    <w:rsid w:val="783E3EC7"/>
    <w:rsid w:val="783F6377"/>
    <w:rsid w:val="784947E4"/>
    <w:rsid w:val="789961A5"/>
    <w:rsid w:val="78A3067F"/>
    <w:rsid w:val="78B74A81"/>
    <w:rsid w:val="78D551AF"/>
    <w:rsid w:val="78EB4ED5"/>
    <w:rsid w:val="791B5B69"/>
    <w:rsid w:val="7972247C"/>
    <w:rsid w:val="7A112D6D"/>
    <w:rsid w:val="7A156077"/>
    <w:rsid w:val="7A266574"/>
    <w:rsid w:val="7A2B07B1"/>
    <w:rsid w:val="7A517873"/>
    <w:rsid w:val="7A543372"/>
    <w:rsid w:val="7A814405"/>
    <w:rsid w:val="7ABC2C71"/>
    <w:rsid w:val="7AE2272C"/>
    <w:rsid w:val="7B06480D"/>
    <w:rsid w:val="7B0B3EAF"/>
    <w:rsid w:val="7B2A40D3"/>
    <w:rsid w:val="7B66618E"/>
    <w:rsid w:val="7B754DB0"/>
    <w:rsid w:val="7BD73B1C"/>
    <w:rsid w:val="7C406385"/>
    <w:rsid w:val="7C4C076F"/>
    <w:rsid w:val="7C4D07B3"/>
    <w:rsid w:val="7C5802F1"/>
    <w:rsid w:val="7CD40D0E"/>
    <w:rsid w:val="7CE21A74"/>
    <w:rsid w:val="7D21462C"/>
    <w:rsid w:val="7D3335D0"/>
    <w:rsid w:val="7D395AB9"/>
    <w:rsid w:val="7D710F36"/>
    <w:rsid w:val="7D8A47D3"/>
    <w:rsid w:val="7DC87307"/>
    <w:rsid w:val="7DE13CC0"/>
    <w:rsid w:val="7E1D01AB"/>
    <w:rsid w:val="7E3C43DE"/>
    <w:rsid w:val="7E544BA5"/>
    <w:rsid w:val="7E93497E"/>
    <w:rsid w:val="7ED00AED"/>
    <w:rsid w:val="7F3D3A75"/>
    <w:rsid w:val="7F4B2C6A"/>
    <w:rsid w:val="7F7259CF"/>
    <w:rsid w:val="7F884E84"/>
    <w:rsid w:val="7F9842CC"/>
    <w:rsid w:val="7FDF57BE"/>
    <w:rsid w:val="7FEE1658"/>
    <w:rsid w:val="BFBF0950"/>
    <w:rsid w:val="F8BFB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unhideWhenUsed/>
    <w:qFormat/>
    <w:uiPriority w:val="1"/>
  </w:style>
  <w:style w:type="table" w:default="1" w:styleId="9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autoRedefine/>
    <w:qFormat/>
    <w:uiPriority w:val="1"/>
    <w:pPr>
      <w:autoSpaceDE w:val="0"/>
      <w:autoSpaceDN w:val="0"/>
      <w:adjustRightInd w:val="0"/>
      <w:spacing w:before="140"/>
      <w:ind w:left="120"/>
      <w:jc w:val="left"/>
    </w:pPr>
    <w:rPr>
      <w:rFonts w:ascii="仿宋_GB2312" w:hAnsi="Times New Roman" w:eastAsia="仿宋_GB2312" w:cs="仿宋_GB2312"/>
      <w:kern w:val="0"/>
      <w:sz w:val="32"/>
      <w:szCs w:val="32"/>
    </w:rPr>
  </w:style>
  <w:style w:type="paragraph" w:styleId="3">
    <w:name w:val="Date"/>
    <w:basedOn w:val="1"/>
    <w:next w:val="1"/>
    <w:link w:val="14"/>
    <w:autoRedefine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autoRedefine/>
    <w:qFormat/>
    <w:uiPriority w:val="0"/>
  </w:style>
  <w:style w:type="paragraph" w:styleId="7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autoRedefine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autoRedefine/>
    <w:qFormat/>
    <w:uiPriority w:val="22"/>
    <w:rPr>
      <w:b/>
    </w:rPr>
  </w:style>
  <w:style w:type="character" w:styleId="12">
    <w:name w:val="Hyperlink"/>
    <w:basedOn w:val="10"/>
    <w:autoRedefine/>
    <w:unhideWhenUsed/>
    <w:qFormat/>
    <w:uiPriority w:val="99"/>
    <w:rPr>
      <w:color w:val="0000FF"/>
      <w:u w:val="single"/>
    </w:rPr>
  </w:style>
  <w:style w:type="paragraph" w:customStyle="1" w:styleId="1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4">
    <w:name w:val="日期 Char"/>
    <w:basedOn w:val="10"/>
    <w:link w:val="3"/>
    <w:autoRedefine/>
    <w:semiHidden/>
    <w:qFormat/>
    <w:uiPriority w:val="99"/>
  </w:style>
  <w:style w:type="character" w:customStyle="1" w:styleId="15">
    <w:name w:val="页眉 Char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4"/>
    <w:autoRedefine/>
    <w:qFormat/>
    <w:uiPriority w:val="99"/>
    <w:rPr>
      <w:sz w:val="18"/>
      <w:szCs w:val="18"/>
    </w:rPr>
  </w:style>
  <w:style w:type="paragraph" w:customStyle="1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正文文本 Char"/>
    <w:basedOn w:val="10"/>
    <w:link w:val="2"/>
    <w:autoRedefine/>
    <w:qFormat/>
    <w:uiPriority w:val="99"/>
    <w:rPr>
      <w:rFonts w:ascii="仿宋_GB2312" w:hAnsi="Times New Roman" w:eastAsia="仿宋_GB2312" w:cs="仿宋_GB2312"/>
      <w:kern w:val="0"/>
      <w:sz w:val="32"/>
      <w:szCs w:val="32"/>
    </w:rPr>
  </w:style>
  <w:style w:type="character" w:customStyle="1" w:styleId="19">
    <w:name w:val="fontstyle01"/>
    <w:basedOn w:val="10"/>
    <w:autoRedefine/>
    <w:qFormat/>
    <w:uiPriority w:val="0"/>
    <w:rPr>
      <w:rFonts w:ascii="仿宋_GB2312" w:eastAsia="仿宋_GB2312" w:cs="仿宋_GB2312"/>
      <w:color w:val="000000"/>
      <w:sz w:val="32"/>
      <w:szCs w:val="32"/>
    </w:rPr>
  </w:style>
  <w:style w:type="character" w:customStyle="1" w:styleId="20">
    <w:name w:val="fontstyle21"/>
    <w:basedOn w:val="10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21">
    <w:name w:val="fontstyle31"/>
    <w:basedOn w:val="10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2129</Words>
  <Characters>2251</Characters>
  <Lines>13</Lines>
  <Paragraphs>3</Paragraphs>
  <TotalTime>2</TotalTime>
  <ScaleCrop>false</ScaleCrop>
  <LinksUpToDate>false</LinksUpToDate>
  <CharactersWithSpaces>2278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2017-03-30T09:55:00Z</dcterms:created>
  <dc:creator>微软用户</dc:creator>
  <cp:lastModifiedBy>Rion</cp:lastModifiedBy>
  <cp:lastPrinted>2024-05-24T01:10:00Z</cp:lastPrinted>
  <dcterms:modified xsi:type="dcterms:W3CDTF">2024-12-25T01:19:57Z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30B50B094D644FEF83FFC53AA2C6BCB5</vt:lpwstr>
  </property>
  <property fmtid="{D5CDD505-2E9C-101B-9397-08002B2CF9AE}" pid="4" name="KSOTemplateDocerSaveRecord">
    <vt:lpwstr>eyJoZGlkIjoiOGQ3M2RhZDY5OGJhODQwOTQ4ZDNlZTJlYjU5YTIyYjUiLCJ1c2VySWQiOiI3OTA2MjI4MDcifQ==</vt:lpwstr>
  </property>
</Properties>
</file>