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540" w:lineRule="exact"/>
        <w:ind w:left="624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OLE_LINK2"/>
      <w:r>
        <w:rPr>
          <w:rFonts w:hint="eastAsia" w:ascii="方正小标宋简体" w:eastAsia="方正小标宋简体"/>
          <w:sz w:val="44"/>
          <w:szCs w:val="44"/>
        </w:rPr>
        <w:t>关于《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玉林市水利发展“十四五”规划</w:t>
      </w:r>
      <w:r>
        <w:rPr>
          <w:rFonts w:hint="eastAsia" w:ascii="方正小标宋简体" w:eastAsia="方正小标宋简体"/>
          <w:sz w:val="44"/>
          <w:szCs w:val="44"/>
        </w:rPr>
        <w:t>》</w:t>
      </w:r>
    </w:p>
    <w:p>
      <w:pPr>
        <w:pStyle w:val="6"/>
        <w:spacing w:line="540" w:lineRule="exact"/>
        <w:ind w:left="624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解读</w:t>
      </w:r>
    </w:p>
    <w:bookmarkEnd w:id="0"/>
    <w:p>
      <w:pPr>
        <w:spacing w:line="540" w:lineRule="exact"/>
        <w:rPr>
          <w:rFonts w:hAnsi="仿宋_GB2312"/>
          <w:color w:val="000000"/>
          <w:kern w:val="21"/>
        </w:rPr>
      </w:pPr>
    </w:p>
    <w:p>
      <w:pPr>
        <w:pStyle w:val="6"/>
        <w:spacing w:after="0" w:line="540" w:lineRule="exact"/>
        <w:ind w:left="0" w:leftChars="0" w:firstLine="624" w:firstLineChars="200"/>
        <w:jc w:val="left"/>
        <w:rPr>
          <w:rFonts w:hAnsi="仿宋_GB2312"/>
          <w:color w:val="000000"/>
          <w:kern w:val="21"/>
        </w:rPr>
      </w:pPr>
      <w:r>
        <w:rPr>
          <w:rFonts w:hint="eastAsia" w:hAnsi="仿宋_GB2312"/>
          <w:color w:val="000000"/>
          <w:kern w:val="21"/>
        </w:rPr>
        <w:t>日前，玉林市人民政府办公室印发了《</w:t>
      </w:r>
      <w:r>
        <w:rPr>
          <w:rFonts w:hint="eastAsia" w:hAnsi="仿宋_GB2312"/>
          <w:color w:val="000000"/>
          <w:kern w:val="21"/>
          <w:lang w:eastAsia="zh-CN"/>
        </w:rPr>
        <w:t>玉林市水利发展“十四五”规划</w:t>
      </w:r>
      <w:r>
        <w:rPr>
          <w:rFonts w:hint="eastAsia" w:hAnsi="仿宋_GB2312"/>
          <w:color w:val="000000"/>
          <w:kern w:val="21"/>
        </w:rPr>
        <w:t>》，根据政务公开条例及有关规定，现解读如下：</w:t>
      </w:r>
    </w:p>
    <w:p>
      <w:pPr>
        <w:spacing w:line="540" w:lineRule="exact"/>
        <w:ind w:firstLine="624" w:firstLineChars="200"/>
        <w:rPr>
          <w:rFonts w:ascii="黑体" w:hAnsi="黑体" w:eastAsia="黑体"/>
        </w:rPr>
      </w:pPr>
      <w:r>
        <w:rPr>
          <w:rFonts w:hint="eastAsia" w:ascii="黑体" w:hAnsi="黑体" w:eastAsia="黑体" w:cs="黑体"/>
          <w:color w:val="000000"/>
        </w:rPr>
        <w:t>一、编制依据</w:t>
      </w:r>
    </w:p>
    <w:p>
      <w:pPr>
        <w:spacing w:line="540" w:lineRule="exact"/>
        <w:ind w:firstLine="624" w:firstLineChars="200"/>
        <w:rPr>
          <w:rFonts w:hint="eastAsia"/>
        </w:rPr>
      </w:pPr>
      <w:r>
        <w:rPr>
          <w:rFonts w:hint="eastAsia"/>
          <w:lang w:eastAsia="zh-CN"/>
        </w:rPr>
        <w:t>深入贯彻落实习近平总书记关于“节水优先、空间均衡、系统治理、两手发力”的治水思路，根据《玉林市国民经济和社会发展第十四个五年规划纲要》和《广西水安全保障“十四五”规划》的总体部署，深入分析玉林市社会经济发展对水利的新需求，研究提出“十四五”时期玉林市水利改革发展的总体思路、发展目标、主要任务、发展布局、重大项目和保障措施，作为未来五年玉林市水利改革发展的行动纲领，特编制本规划。</w:t>
      </w:r>
    </w:p>
    <w:p>
      <w:pPr>
        <w:spacing w:line="540" w:lineRule="exact"/>
        <w:ind w:firstLine="624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二、总体框架和主要内容</w:t>
      </w:r>
    </w:p>
    <w:p>
      <w:pPr>
        <w:spacing w:line="540" w:lineRule="exact"/>
        <w:ind w:firstLine="312" w:firstLineChars="100"/>
        <w:rPr>
          <w:rFonts w:ascii="仿宋" w:hAnsi="仿宋" w:cs="仿宋"/>
          <w:szCs w:val="30"/>
        </w:rPr>
      </w:pPr>
      <w:r>
        <w:rPr>
          <w:rFonts w:hint="eastAsia" w:ascii="仿宋" w:hAnsi="仿宋" w:cs="仿宋"/>
          <w:szCs w:val="30"/>
        </w:rPr>
        <w:t>《</w:t>
      </w:r>
      <w:r>
        <w:rPr>
          <w:rFonts w:hint="eastAsia" w:ascii="仿宋" w:hAnsi="仿宋" w:cs="仿宋"/>
          <w:szCs w:val="30"/>
          <w:lang w:eastAsia="zh-CN"/>
        </w:rPr>
        <w:t>玉林市水利发展“十四五”规划</w:t>
      </w:r>
      <w:r>
        <w:rPr>
          <w:rFonts w:hint="eastAsia" w:ascii="仿宋" w:hAnsi="仿宋" w:cs="仿宋"/>
          <w:szCs w:val="30"/>
        </w:rPr>
        <w:t>》框架内容主要包括</w:t>
      </w:r>
      <w:r>
        <w:rPr>
          <w:rFonts w:hint="eastAsia" w:ascii="仿宋" w:hAnsi="仿宋" w:cs="仿宋"/>
          <w:szCs w:val="30"/>
          <w:lang w:eastAsia="zh-CN"/>
        </w:rPr>
        <w:t>水利发展“十三五”完成情况、水利发展现状情况与形势分析、总体思路等十</w:t>
      </w:r>
      <w:bookmarkStart w:id="4" w:name="_GoBack"/>
      <w:bookmarkEnd w:id="4"/>
      <w:r>
        <w:rPr>
          <w:rFonts w:hint="eastAsia" w:ascii="仿宋" w:hAnsi="仿宋" w:cs="仿宋"/>
          <w:szCs w:val="30"/>
          <w:lang w:eastAsia="zh-CN"/>
        </w:rPr>
        <w:t>个章节内容</w:t>
      </w:r>
      <w:r>
        <w:rPr>
          <w:rFonts w:hint="eastAsia" w:ascii="仿宋" w:hAnsi="仿宋" w:cs="仿宋"/>
          <w:szCs w:val="30"/>
        </w:rPr>
        <w:t>。具体框架及内容如下：</w:t>
      </w:r>
    </w:p>
    <w:p>
      <w:pPr>
        <w:spacing w:line="540" w:lineRule="exact"/>
        <w:ind w:firstLine="624" w:firstLineChars="200"/>
        <w:rPr>
          <w:rFonts w:hint="eastAsia" w:ascii="仿宋" w:hAnsi="仿宋" w:cs="仿宋"/>
          <w:szCs w:val="30"/>
          <w:lang w:eastAsia="zh-CN"/>
        </w:rPr>
      </w:pPr>
      <w:r>
        <w:rPr>
          <w:rFonts w:hint="eastAsia" w:ascii="楷体_GB2312" w:hAnsi="楷体_GB2312" w:eastAsia="楷体_GB2312" w:cs="楷体_GB2312"/>
          <w:szCs w:val="30"/>
        </w:rPr>
        <w:t>（一）</w:t>
      </w:r>
      <w:r>
        <w:rPr>
          <w:rFonts w:hint="eastAsia" w:ascii="楷体_GB2312" w:hAnsi="楷体_GB2312" w:eastAsia="楷体_GB2312" w:cs="楷体_GB2312"/>
          <w:bCs/>
          <w:szCs w:val="30"/>
        </w:rPr>
        <w:t>水利发展</w:t>
      </w:r>
      <w:r>
        <w:rPr>
          <w:rFonts w:ascii="楷体_GB2312" w:hAnsi="楷体_GB2312" w:eastAsia="楷体_GB2312" w:cs="楷体_GB2312"/>
          <w:bCs/>
          <w:szCs w:val="30"/>
        </w:rPr>
        <w:t>“</w:t>
      </w:r>
      <w:r>
        <w:rPr>
          <w:rFonts w:hint="eastAsia" w:ascii="楷体_GB2312" w:hAnsi="楷体_GB2312" w:eastAsia="楷体_GB2312" w:cs="楷体_GB2312"/>
          <w:bCs/>
          <w:szCs w:val="30"/>
        </w:rPr>
        <w:t>十三五</w:t>
      </w:r>
      <w:r>
        <w:rPr>
          <w:rFonts w:ascii="楷体_GB2312" w:hAnsi="楷体_GB2312" w:eastAsia="楷体_GB2312" w:cs="楷体_GB2312"/>
          <w:bCs/>
          <w:szCs w:val="30"/>
        </w:rPr>
        <w:t>”</w:t>
      </w:r>
      <w:r>
        <w:rPr>
          <w:rFonts w:hint="eastAsia" w:ascii="楷体_GB2312" w:hAnsi="楷体_GB2312" w:eastAsia="楷体_GB2312" w:cs="楷体_GB2312"/>
          <w:bCs/>
          <w:szCs w:val="30"/>
        </w:rPr>
        <w:t>完成情况</w:t>
      </w:r>
      <w:r>
        <w:rPr>
          <w:rFonts w:hint="eastAsia" w:ascii="楷体_GB2312" w:hAnsi="楷体_GB2312" w:eastAsia="楷体_GB2312" w:cs="楷体_GB2312"/>
          <w:bCs/>
          <w:szCs w:val="30"/>
          <w:lang w:eastAsia="zh-CN"/>
        </w:rPr>
        <w:t>。</w:t>
      </w:r>
      <w:r>
        <w:rPr>
          <w:rFonts w:hint="eastAsia" w:ascii="仿宋" w:hAnsi="仿宋" w:cs="仿宋"/>
          <w:szCs w:val="30"/>
          <w:lang w:eastAsia="zh-CN"/>
        </w:rPr>
        <w:t>包括“十三五”水利改革发展主要成就和规划指标完成情况等。</w:t>
      </w:r>
    </w:p>
    <w:p>
      <w:pPr>
        <w:spacing w:line="540" w:lineRule="exact"/>
        <w:ind w:firstLine="624" w:firstLineChars="200"/>
        <w:rPr>
          <w:rFonts w:hint="eastAsia" w:ascii="楷体_GB2312" w:hAnsi="楷体_GB2312" w:eastAsia="楷体_GB2312" w:cs="楷体_GB2312"/>
          <w:szCs w:val="30"/>
          <w:lang w:eastAsia="zh-CN"/>
        </w:rPr>
      </w:pPr>
      <w:r>
        <w:rPr>
          <w:rFonts w:hint="eastAsia" w:ascii="楷体_GB2312" w:hAnsi="楷体_GB2312" w:eastAsia="楷体_GB2312" w:cs="楷体_GB2312"/>
          <w:szCs w:val="30"/>
        </w:rPr>
        <w:t>（二）</w:t>
      </w:r>
      <w:r>
        <w:rPr>
          <w:rFonts w:hint="eastAsia" w:ascii="楷体_GB2312" w:hAnsi="楷体_GB2312" w:eastAsia="楷体_GB2312" w:cs="楷体_GB2312"/>
          <w:bCs/>
          <w:szCs w:val="30"/>
        </w:rPr>
        <w:t>水利发展现状情况与形势分析</w:t>
      </w:r>
      <w:r>
        <w:rPr>
          <w:rFonts w:hint="eastAsia" w:ascii="楷体_GB2312" w:hAnsi="楷体_GB2312" w:eastAsia="楷体_GB2312" w:cs="楷体_GB2312"/>
          <w:bCs/>
          <w:szCs w:val="30"/>
          <w:lang w:eastAsia="zh-CN"/>
        </w:rPr>
        <w:t>。</w:t>
      </w:r>
      <w:r>
        <w:rPr>
          <w:rFonts w:hint="eastAsia" w:ascii="仿宋" w:hAnsi="仿宋" w:cs="仿宋"/>
          <w:szCs w:val="30"/>
          <w:lang w:eastAsia="zh-CN"/>
        </w:rPr>
        <w:t>深入分析社会经济、水资源和水利发展现状，提出我市水利工作面临形势和存在问题。</w:t>
      </w:r>
    </w:p>
    <w:p>
      <w:pPr>
        <w:spacing w:line="540" w:lineRule="exact"/>
        <w:ind w:firstLine="624" w:firstLineChars="200"/>
        <w:rPr>
          <w:rFonts w:hint="eastAsia" w:ascii="楷体_GB2312" w:hAnsi="楷体_GB2312" w:eastAsia="楷体_GB2312" w:cs="楷体_GB2312"/>
          <w:bCs/>
          <w:szCs w:val="30"/>
          <w:lang w:eastAsia="zh-CN"/>
        </w:rPr>
      </w:pPr>
      <w:r>
        <w:rPr>
          <w:rFonts w:hint="eastAsia" w:ascii="楷体_GB2312" w:hAnsi="楷体_GB2312" w:eastAsia="楷体_GB2312" w:cs="楷体_GB2312"/>
          <w:szCs w:val="30"/>
        </w:rPr>
        <w:t>（三）</w:t>
      </w:r>
      <w:r>
        <w:rPr>
          <w:rFonts w:hint="eastAsia" w:ascii="楷体_GB2312" w:hAnsi="楷体_GB2312" w:eastAsia="楷体_GB2312" w:cs="楷体_GB2312"/>
          <w:bCs/>
          <w:szCs w:val="30"/>
        </w:rPr>
        <w:t>总体思路。</w:t>
      </w:r>
      <w:r>
        <w:rPr>
          <w:rFonts w:hint="eastAsia" w:ascii="仿宋" w:hAnsi="仿宋" w:cs="仿宋"/>
          <w:szCs w:val="30"/>
          <w:lang w:eastAsia="zh-CN"/>
        </w:rPr>
        <w:t>加强防洪减灾安全体系、水资源合理配置和高效利用体系、水资源保护和河湖健康保障体系、水监督管理保障体系建设，构建“一带、三屏、五廊”的水利发展格局。</w:t>
      </w:r>
    </w:p>
    <w:p>
      <w:pPr>
        <w:spacing w:line="540" w:lineRule="exact"/>
        <w:ind w:firstLine="624" w:firstLineChars="200"/>
        <w:rPr>
          <w:rFonts w:hint="eastAsia" w:ascii="仿宋" w:hAnsi="仿宋" w:eastAsia="仿宋_GB2312" w:cs="仿宋"/>
          <w:szCs w:val="30"/>
          <w:lang w:eastAsia="zh-CN"/>
        </w:rPr>
      </w:pPr>
      <w:r>
        <w:rPr>
          <w:rFonts w:hint="eastAsia" w:ascii="楷体_GB2312" w:hAnsi="楷体_GB2312" w:eastAsia="楷体_GB2312" w:cs="楷体_GB2312"/>
          <w:szCs w:val="30"/>
        </w:rPr>
        <w:t>（四）补齐短板，完善水利基础设施网络。</w:t>
      </w:r>
      <w:r>
        <w:rPr>
          <w:rFonts w:hint="eastAsia" w:ascii="仿宋" w:hAnsi="仿宋" w:cs="仿宋"/>
          <w:szCs w:val="30"/>
        </w:rPr>
        <w:t>提升洪涝灾害防御能力</w:t>
      </w:r>
      <w:r>
        <w:rPr>
          <w:rFonts w:hint="eastAsia" w:ascii="仿宋" w:hAnsi="仿宋" w:cs="仿宋"/>
          <w:szCs w:val="30"/>
          <w:lang w:eastAsia="zh-CN"/>
        </w:rPr>
        <w:t>，优化水资源配置格局，夯实乡村振兴水利基础，加强河湖生态修复，推进智慧水利建设。</w:t>
      </w:r>
    </w:p>
    <w:p>
      <w:pPr>
        <w:spacing w:line="540" w:lineRule="exact"/>
        <w:ind w:firstLine="624" w:firstLineChars="200"/>
        <w:rPr>
          <w:rFonts w:hint="eastAsia" w:ascii="仿宋" w:hAnsi="仿宋" w:eastAsia="仿宋_GB2312" w:cs="仿宋"/>
          <w:szCs w:val="30"/>
          <w:lang w:eastAsia="zh-CN"/>
        </w:rPr>
      </w:pPr>
      <w:r>
        <w:rPr>
          <w:rFonts w:hint="eastAsia" w:ascii="楷体_GB2312" w:hAnsi="楷体_GB2312" w:eastAsia="楷体_GB2312" w:cs="楷体_GB2312"/>
          <w:szCs w:val="30"/>
        </w:rPr>
        <w:t>（五）强化监管，提升涉水事务监管水平。</w:t>
      </w:r>
      <w:r>
        <w:rPr>
          <w:rFonts w:hint="eastAsia" w:ascii="仿宋" w:hAnsi="仿宋" w:cs="仿宋"/>
          <w:szCs w:val="30"/>
        </w:rPr>
        <w:t>加强江河湖泊监督管理</w:t>
      </w:r>
      <w:r>
        <w:rPr>
          <w:rFonts w:hint="eastAsia" w:ascii="仿宋" w:hAnsi="仿宋" w:cs="仿宋"/>
          <w:szCs w:val="30"/>
          <w:lang w:eastAsia="zh-CN"/>
        </w:rPr>
        <w:t>，严格节水和水资源监管，健全水利工程监督管理，强化水土保持监督管理，加强水利资金使用监管，完善水利行业监督体系。</w:t>
      </w:r>
    </w:p>
    <w:p>
      <w:pPr>
        <w:spacing w:line="540" w:lineRule="exact"/>
        <w:ind w:firstLine="624" w:firstLineChars="200"/>
        <w:rPr>
          <w:rFonts w:hint="eastAsia" w:ascii="仿宋" w:hAnsi="仿宋" w:eastAsia="仿宋_GB2312" w:cs="仿宋"/>
          <w:szCs w:val="30"/>
          <w:lang w:eastAsia="zh-CN"/>
        </w:rPr>
      </w:pPr>
      <w:r>
        <w:rPr>
          <w:rFonts w:hint="eastAsia" w:ascii="楷体_GB2312" w:hAnsi="楷体_GB2312" w:eastAsia="楷体_GB2312" w:cs="楷体_GB2312"/>
          <w:szCs w:val="30"/>
        </w:rPr>
        <w:t>（六）深化改革，激发水利发展内生动力。</w:t>
      </w:r>
      <w:r>
        <w:rPr>
          <w:rFonts w:hint="eastAsia" w:ascii="仿宋" w:hAnsi="仿宋" w:cs="仿宋"/>
          <w:szCs w:val="30"/>
        </w:rPr>
        <w:t>强化规划引领</w:t>
      </w:r>
      <w:r>
        <w:rPr>
          <w:rFonts w:hint="eastAsia" w:ascii="仿宋" w:hAnsi="仿宋" w:cs="仿宋"/>
          <w:szCs w:val="30"/>
          <w:lang w:eastAsia="zh-CN"/>
        </w:rPr>
        <w:t>，完善河湖长制长效机制，激活市场节水动力，深化水利投融资改革，建立沟通协调机制。</w:t>
      </w:r>
    </w:p>
    <w:p>
      <w:pPr>
        <w:spacing w:line="540" w:lineRule="exact"/>
        <w:ind w:firstLine="624" w:firstLineChars="200"/>
        <w:rPr>
          <w:rFonts w:hint="eastAsia" w:ascii="仿宋" w:hAnsi="仿宋" w:eastAsia="仿宋_GB2312" w:cs="仿宋"/>
          <w:szCs w:val="30"/>
          <w:lang w:eastAsia="zh-CN"/>
        </w:rPr>
      </w:pPr>
      <w:r>
        <w:rPr>
          <w:rFonts w:hint="eastAsia" w:ascii="楷体_GB2312" w:hAnsi="楷体_GB2312" w:eastAsia="楷体_GB2312" w:cs="楷体_GB2312"/>
          <w:szCs w:val="30"/>
        </w:rPr>
        <w:t>（七）创新机制，提升水利行业能力。</w:t>
      </w:r>
      <w:r>
        <w:rPr>
          <w:rFonts w:hint="eastAsia" w:ascii="仿宋" w:hAnsi="仿宋" w:cs="仿宋"/>
          <w:szCs w:val="30"/>
        </w:rPr>
        <w:t>强化水利科技创新</w:t>
      </w:r>
      <w:r>
        <w:rPr>
          <w:rFonts w:hint="eastAsia" w:ascii="仿宋" w:hAnsi="仿宋" w:cs="仿宋"/>
          <w:szCs w:val="30"/>
          <w:lang w:eastAsia="zh-CN"/>
        </w:rPr>
        <w:t>，加强人才队伍建设，提升依法治水管水水平，健全基层水利服务体系。</w:t>
      </w:r>
    </w:p>
    <w:p>
      <w:pPr>
        <w:spacing w:line="540" w:lineRule="exact"/>
        <w:ind w:firstLine="624" w:firstLineChars="200"/>
        <w:rPr>
          <w:rFonts w:hint="eastAsia" w:ascii="仿宋" w:hAnsi="仿宋" w:eastAsia="仿宋_GB2312" w:cs="仿宋"/>
          <w:szCs w:val="30"/>
          <w:lang w:eastAsia="zh-CN"/>
        </w:rPr>
      </w:pPr>
      <w:r>
        <w:rPr>
          <w:rFonts w:hint="eastAsia" w:ascii="楷体_GB2312" w:hAnsi="楷体_GB2312" w:eastAsia="楷体_GB2312" w:cs="楷体_GB2312"/>
          <w:szCs w:val="30"/>
        </w:rPr>
        <w:t>（八）重大政策、行动、重点工程和实施意见。</w:t>
      </w:r>
      <w:r>
        <w:rPr>
          <w:rFonts w:hint="eastAsia" w:ascii="仿宋" w:hAnsi="仿宋" w:cs="仿宋"/>
          <w:szCs w:val="30"/>
          <w:lang w:eastAsia="zh-CN"/>
        </w:rPr>
        <w:t>提出具体的</w:t>
      </w:r>
      <w:r>
        <w:rPr>
          <w:rFonts w:hint="eastAsia" w:ascii="仿宋" w:hAnsi="仿宋" w:cs="仿宋"/>
          <w:szCs w:val="30"/>
        </w:rPr>
        <w:t>重大政策</w:t>
      </w:r>
      <w:r>
        <w:rPr>
          <w:rFonts w:hint="eastAsia" w:ascii="仿宋" w:hAnsi="仿宋" w:cs="仿宋"/>
          <w:szCs w:val="30"/>
          <w:lang w:eastAsia="zh-CN"/>
        </w:rPr>
        <w:t>、重大行动、重点工程和实施安排。</w:t>
      </w:r>
    </w:p>
    <w:p>
      <w:pPr>
        <w:spacing w:line="540" w:lineRule="exact"/>
        <w:ind w:firstLine="624" w:firstLineChars="200"/>
        <w:rPr>
          <w:rFonts w:hint="eastAsia" w:ascii="仿宋" w:hAnsi="仿宋" w:cs="仿宋"/>
          <w:szCs w:val="30"/>
          <w:lang w:eastAsia="zh-CN"/>
        </w:rPr>
      </w:pPr>
      <w:r>
        <w:rPr>
          <w:rFonts w:hint="eastAsia" w:ascii="楷体_GB2312" w:hAnsi="楷体_GB2312" w:eastAsia="楷体_GB2312" w:cs="楷体_GB2312"/>
          <w:szCs w:val="30"/>
        </w:rPr>
        <w:t>（九）环境影响评价。</w:t>
      </w:r>
      <w:r>
        <w:rPr>
          <w:rFonts w:hint="eastAsia" w:ascii="仿宋" w:hAnsi="仿宋" w:cs="仿宋"/>
          <w:szCs w:val="30"/>
          <w:lang w:eastAsia="zh-CN"/>
        </w:rPr>
        <w:t>对环</w:t>
      </w:r>
      <w:r>
        <w:rPr>
          <w:rFonts w:hint="eastAsia" w:ascii="仿宋" w:hAnsi="仿宋" w:cs="仿宋"/>
          <w:szCs w:val="30"/>
        </w:rPr>
        <w:t>境影响</w:t>
      </w:r>
      <w:bookmarkStart w:id="1" w:name="_Hlt104292658"/>
      <w:r>
        <w:rPr>
          <w:rFonts w:hint="eastAsia" w:ascii="仿宋" w:hAnsi="仿宋" w:cs="仿宋"/>
          <w:szCs w:val="30"/>
          <w:lang w:eastAsia="zh-CN"/>
        </w:rPr>
        <w:t>进行</w:t>
      </w:r>
      <w:r>
        <w:rPr>
          <w:rFonts w:hint="eastAsia" w:ascii="仿宋" w:hAnsi="仿宋" w:cs="仿宋"/>
          <w:szCs w:val="30"/>
        </w:rPr>
        <w:t>分</w:t>
      </w:r>
      <w:bookmarkEnd w:id="1"/>
      <w:r>
        <w:rPr>
          <w:rFonts w:hint="eastAsia" w:ascii="仿宋" w:hAnsi="仿宋" w:cs="仿宋"/>
          <w:szCs w:val="30"/>
        </w:rPr>
        <w:t>析</w:t>
      </w:r>
      <w:r>
        <w:rPr>
          <w:rFonts w:hint="eastAsia" w:ascii="仿宋" w:hAnsi="仿宋" w:cs="仿宋"/>
          <w:szCs w:val="30"/>
          <w:lang w:eastAsia="zh-CN"/>
        </w:rPr>
        <w:t>，与相关规划的协调性分析，提出环境保护措施和综合评价结论。</w:t>
      </w:r>
    </w:p>
    <w:p>
      <w:pPr>
        <w:spacing w:line="540" w:lineRule="exact"/>
        <w:ind w:firstLine="624" w:firstLineChars="200"/>
        <w:rPr>
          <w:rFonts w:hint="eastAsia" w:ascii="楷体_GB2312" w:hAnsi="楷体_GB2312" w:eastAsia="楷体_GB2312" w:cs="楷体_GB2312"/>
          <w:kern w:val="2"/>
          <w:sz w:val="32"/>
          <w:szCs w:val="30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0"/>
          <w:lang w:val="en-US" w:eastAsia="zh-CN" w:bidi="ar-SA"/>
        </w:rPr>
        <w:t>（十）保障措施。</w:t>
      </w:r>
      <w:r>
        <w:rPr>
          <w:rFonts w:hint="eastAsia" w:ascii="仿宋" w:hAnsi="仿宋" w:cs="仿宋"/>
          <w:szCs w:val="30"/>
          <w:lang w:val="en-US" w:eastAsia="zh-CN"/>
        </w:rPr>
        <w:t>加强组织实施，加强</w:t>
      </w:r>
      <w:bookmarkStart w:id="2" w:name="_Hlt104292644"/>
      <w:r>
        <w:rPr>
          <w:rFonts w:hint="eastAsia" w:ascii="仿宋" w:hAnsi="仿宋" w:cs="仿宋"/>
          <w:szCs w:val="30"/>
          <w:lang w:val="en-US" w:eastAsia="zh-CN"/>
        </w:rPr>
        <w:t>政</w:t>
      </w:r>
      <w:bookmarkEnd w:id="2"/>
      <w:r>
        <w:rPr>
          <w:rFonts w:hint="eastAsia" w:ascii="仿宋" w:hAnsi="仿宋" w:cs="仿宋"/>
          <w:szCs w:val="30"/>
          <w:lang w:val="en-US" w:eastAsia="zh-CN"/>
        </w:rPr>
        <w:t>策支持，保障资金投入，强化项目管理，严格</w:t>
      </w:r>
      <w:bookmarkStart w:id="3" w:name="_Hlt104292632"/>
      <w:r>
        <w:rPr>
          <w:rFonts w:hint="eastAsia" w:ascii="仿宋" w:hAnsi="仿宋" w:cs="仿宋"/>
          <w:szCs w:val="30"/>
          <w:lang w:val="en-US" w:eastAsia="zh-CN"/>
        </w:rPr>
        <w:t>监</w:t>
      </w:r>
      <w:bookmarkEnd w:id="3"/>
      <w:r>
        <w:rPr>
          <w:rFonts w:hint="eastAsia" w:ascii="仿宋" w:hAnsi="仿宋" w:cs="仿宋"/>
          <w:szCs w:val="30"/>
          <w:lang w:val="en-US" w:eastAsia="zh-CN"/>
        </w:rPr>
        <w:t>督考核。</w:t>
      </w:r>
    </w:p>
    <w:p>
      <w:pPr>
        <w:adjustRightInd w:val="0"/>
        <w:snapToGrid w:val="0"/>
        <w:spacing w:line="540" w:lineRule="exact"/>
        <w:ind w:firstLine="624" w:firstLineChars="200"/>
        <w:rPr>
          <w:rFonts w:ascii="黑体" w:hAnsi="黑体" w:eastAsia="黑体"/>
        </w:rPr>
      </w:pPr>
      <w:r>
        <w:rPr>
          <w:rFonts w:hint="eastAsia" w:ascii="黑体" w:hAnsi="黑体" w:eastAsia="黑体" w:cs="Times New Roman"/>
          <w:lang w:val="zh-Hans"/>
        </w:rPr>
        <w:t>三、</w:t>
      </w:r>
      <w:r>
        <w:rPr>
          <w:rFonts w:hint="eastAsia" w:ascii="黑体" w:hAnsi="黑体" w:eastAsia="黑体"/>
        </w:rPr>
        <w:t>目的意义</w:t>
      </w:r>
    </w:p>
    <w:p>
      <w:pPr>
        <w:spacing w:line="540" w:lineRule="exact"/>
        <w:ind w:firstLine="624" w:firstLineChars="200"/>
        <w:rPr>
          <w:rFonts w:hAnsi="仿宋_GB2312"/>
          <w:szCs w:val="30"/>
        </w:rPr>
      </w:pPr>
      <w:r>
        <w:rPr>
          <w:rFonts w:hint="eastAsia" w:hAnsi="仿宋_GB2312"/>
          <w:szCs w:val="30"/>
        </w:rPr>
        <w:t>“十四五”时期，是我国全面建成小康社会、实现第一个百年奋斗目标之后，乘势而上开启全面建设社会主义现代化国家新征程、向第二个百年奋斗目标进军的第一个五年，党的十九大提出要“贯彻新发展理念，建设现代化经济体系”，实现高速增长到高质量增长的转变。“一带一路”、环北部湾经济圈建设为玉林市水利改革发展提供了难得的历史机遇。</w:t>
      </w:r>
      <w:r>
        <w:rPr>
          <w:rFonts w:hint="eastAsia" w:hAnsi="仿宋_GB2312"/>
          <w:szCs w:val="30"/>
          <w:lang w:eastAsia="zh-CN"/>
        </w:rPr>
        <w:t>市</w:t>
      </w:r>
      <w:r>
        <w:rPr>
          <w:rFonts w:hint="eastAsia" w:hAnsi="仿宋_GB2312"/>
          <w:szCs w:val="30"/>
          <w:lang w:eastAsia="zh-CN"/>
        </w:rPr>
        <w:t>水利局</w:t>
      </w:r>
      <w:r>
        <w:rPr>
          <w:rFonts w:hint="eastAsia" w:hAnsi="仿宋_GB2312"/>
          <w:szCs w:val="30"/>
        </w:rPr>
        <w:t>科学编制</w:t>
      </w:r>
      <w:r>
        <w:rPr>
          <w:rFonts w:hint="eastAsia" w:hAnsi="仿宋_GB2312"/>
          <w:color w:val="000000"/>
          <w:kern w:val="21"/>
        </w:rPr>
        <w:t>《</w:t>
      </w:r>
      <w:r>
        <w:rPr>
          <w:rFonts w:hint="eastAsia" w:hAnsi="仿宋_GB2312"/>
          <w:color w:val="000000"/>
          <w:kern w:val="21"/>
          <w:lang w:eastAsia="zh-CN"/>
        </w:rPr>
        <w:t>玉林市水利发展“十四五”规划</w:t>
      </w:r>
      <w:r>
        <w:rPr>
          <w:rFonts w:hint="eastAsia" w:hAnsi="仿宋_GB2312"/>
          <w:color w:val="000000"/>
          <w:kern w:val="21"/>
        </w:rPr>
        <w:t>》</w:t>
      </w:r>
      <w:r>
        <w:rPr>
          <w:rFonts w:hint="eastAsia" w:hAnsi="仿宋_GB2312"/>
          <w:szCs w:val="30"/>
        </w:rPr>
        <w:t>，</w:t>
      </w:r>
      <w:r>
        <w:rPr>
          <w:rFonts w:hint="eastAsia" w:hAnsi="仿宋_GB2312"/>
          <w:szCs w:val="30"/>
          <w:lang w:eastAsia="zh-CN"/>
        </w:rPr>
        <w:t>以全面提升水安全保障能力为主线，以建设玉林市幸福河湖为重要目标，坚持水安全风险防控底线、水资源承载力刚性约束上限、水生态保护控制红线，统筹“水资源、水安全、水环境、水生态”，强化涉水事务监管，全面深化水利改革，不断满足人民群众对持久水安全、优质水资源、健康水生态、宜居水环境、先进水文化的迫切需求，持续推进玉林市水利治理体系和治理能力现代化，科学谋划和扎实推进新阶段水利高质量发展，为玉林市</w:t>
      </w:r>
      <w:r>
        <w:rPr>
          <w:rFonts w:hint="eastAsia" w:hAnsi="仿宋_GB2312"/>
          <w:szCs w:val="30"/>
        </w:rPr>
        <w:t>加快建成</w:t>
      </w:r>
      <w:r>
        <w:rPr>
          <w:rFonts w:hint="eastAsia" w:hAnsi="仿宋_GB2312"/>
          <w:spacing w:val="-2"/>
          <w:kern w:val="0"/>
        </w:rPr>
        <w:t>“四强两区一美”两湾先行试验区</w:t>
      </w:r>
      <w:r>
        <w:rPr>
          <w:rFonts w:hint="eastAsia" w:hAnsi="仿宋_GB2312"/>
          <w:spacing w:val="-2"/>
          <w:kern w:val="0"/>
          <w:lang w:eastAsia="zh-CN"/>
        </w:rPr>
        <w:t>提供坚实的水利支撑</w:t>
      </w:r>
      <w:r>
        <w:rPr>
          <w:rFonts w:hint="eastAsia" w:hAnsi="仿宋_GB2312"/>
          <w:szCs w:val="30"/>
        </w:rPr>
        <w:t>。</w:t>
      </w:r>
    </w:p>
    <w:sectPr>
      <w:footerReference r:id="rId3" w:type="default"/>
      <w:footerReference r:id="rId4" w:type="even"/>
      <w:pgSz w:w="11906" w:h="16838"/>
      <w:pgMar w:top="1134" w:right="1417" w:bottom="1134" w:left="1417" w:header="851" w:footer="992" w:gutter="0"/>
      <w:cols w:space="720" w:num="1"/>
      <w:docGrid w:type="linesAndChars" w:linePitch="582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_GB2312">
    <w:altName w:val="楷体"/>
    <w:panose1 w:val="02010609030101010101"/>
    <w:charset w:val="00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  <w:rFonts w:ascii="宋体" w:hAnsi="宋体" w:eastAsia="宋体"/>
        <w:sz w:val="28"/>
        <w:szCs w:val="28"/>
      </w:rPr>
    </w:pPr>
    <w:r>
      <w:rPr>
        <w:rStyle w:val="9"/>
        <w:rFonts w:hint="eastAsia" w:ascii="宋体" w:hAnsi="宋体" w:eastAsia="宋体"/>
        <w:sz w:val="28"/>
        <w:szCs w:val="28"/>
      </w:rPr>
      <w:t xml:space="preserve">— </w:t>
    </w:r>
    <w:r>
      <w:rPr>
        <w:rStyle w:val="9"/>
        <w:rFonts w:ascii="宋体" w:hAnsi="宋体" w:eastAsia="宋体"/>
        <w:sz w:val="28"/>
        <w:szCs w:val="28"/>
      </w:rPr>
      <w:fldChar w:fldCharType="begin"/>
    </w:r>
    <w:r>
      <w:rPr>
        <w:rStyle w:val="9"/>
        <w:rFonts w:ascii="宋体" w:hAnsi="宋体" w:eastAsia="宋体"/>
        <w:sz w:val="28"/>
        <w:szCs w:val="28"/>
      </w:rPr>
      <w:instrText xml:space="preserve">PAGE  </w:instrText>
    </w:r>
    <w:r>
      <w:rPr>
        <w:rStyle w:val="9"/>
        <w:rFonts w:ascii="宋体" w:hAnsi="宋体" w:eastAsia="宋体"/>
        <w:sz w:val="28"/>
        <w:szCs w:val="28"/>
      </w:rPr>
      <w:fldChar w:fldCharType="separate"/>
    </w:r>
    <w:r>
      <w:rPr>
        <w:rStyle w:val="9"/>
        <w:rFonts w:ascii="宋体" w:hAnsi="宋体" w:eastAsia="宋体"/>
        <w:sz w:val="28"/>
        <w:szCs w:val="28"/>
      </w:rPr>
      <w:t>2</w:t>
    </w:r>
    <w:r>
      <w:rPr>
        <w:rStyle w:val="9"/>
        <w:rFonts w:ascii="宋体" w:hAnsi="宋体" w:eastAsia="宋体"/>
        <w:sz w:val="28"/>
        <w:szCs w:val="28"/>
      </w:rPr>
      <w:fldChar w:fldCharType="end"/>
    </w:r>
    <w:r>
      <w:rPr>
        <w:rStyle w:val="9"/>
        <w:rFonts w:hint="eastAsia" w:ascii="宋体" w:hAnsi="宋体" w:eastAsia="宋体"/>
        <w:sz w:val="28"/>
        <w:szCs w:val="28"/>
      </w:rPr>
      <w:t xml:space="preserve"> 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04459A"/>
    <w:rsid w:val="00003841"/>
    <w:rsid w:val="002F5A8B"/>
    <w:rsid w:val="0039627B"/>
    <w:rsid w:val="00505FBF"/>
    <w:rsid w:val="005274F7"/>
    <w:rsid w:val="00530ABD"/>
    <w:rsid w:val="005A256A"/>
    <w:rsid w:val="005E3D0A"/>
    <w:rsid w:val="008B0B2D"/>
    <w:rsid w:val="00991422"/>
    <w:rsid w:val="009E3454"/>
    <w:rsid w:val="00B80829"/>
    <w:rsid w:val="00DC69DB"/>
    <w:rsid w:val="00DD6225"/>
    <w:rsid w:val="00E11D95"/>
    <w:rsid w:val="2CA55109"/>
    <w:rsid w:val="4FE41931"/>
    <w:rsid w:val="59FCB1A0"/>
    <w:rsid w:val="67BF18BA"/>
    <w:rsid w:val="6BE235A2"/>
    <w:rsid w:val="6EB997BD"/>
    <w:rsid w:val="7904459A"/>
    <w:rsid w:val="7A5E7DB1"/>
    <w:rsid w:val="FB57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仿宋_GB2312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napToGrid w:val="0"/>
      <w:spacing w:line="579" w:lineRule="exact"/>
    </w:pPr>
    <w:rPr>
      <w:rFonts w:ascii="Calibri" w:hAnsi="Calibri" w:cs="Times New Roman"/>
      <w:szCs w:val="24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3"/>
    <w:next w:val="1"/>
    <w:qFormat/>
    <w:uiPriority w:val="0"/>
    <w:pPr>
      <w:ind w:firstLine="420"/>
    </w:pPr>
  </w:style>
  <w:style w:type="character" w:styleId="9">
    <w:name w:val="page number"/>
    <w:basedOn w:val="8"/>
    <w:qFormat/>
    <w:uiPriority w:val="0"/>
  </w:style>
  <w:style w:type="character" w:styleId="10">
    <w:name w:val="Hyperlink"/>
    <w:qFormat/>
    <w:uiPriority w:val="99"/>
    <w:rPr>
      <w:color w:val="0000FF"/>
      <w:u w:val="single"/>
    </w:rPr>
  </w:style>
  <w:style w:type="character" w:customStyle="1" w:styleId="11">
    <w:name w:val="页眉 字符"/>
    <w:basedOn w:val="8"/>
    <w:link w:val="5"/>
    <w:qFormat/>
    <w:uiPriority w:val="0"/>
    <w:rPr>
      <w:rFonts w:ascii="仿宋_GB2312" w:hAnsi="Times New Roman" w:eastAsia="仿宋_GB2312" w:cs="仿宋_GB2312"/>
      <w:kern w:val="2"/>
      <w:sz w:val="18"/>
      <w:szCs w:val="18"/>
    </w:rPr>
  </w:style>
  <w:style w:type="character" w:customStyle="1" w:styleId="12">
    <w:name w:val="样式 宋体 小四1"/>
    <w:qFormat/>
    <w:uiPriority w:val="0"/>
    <w:rPr>
      <w:rFonts w:ascii="Times New Roman" w:hAnsi="Times New Roman"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1108</Words>
  <Characters>1116</Characters>
  <Lines>7</Lines>
  <Paragraphs>2</Paragraphs>
  <TotalTime>1</TotalTime>
  <ScaleCrop>false</ScaleCrop>
  <LinksUpToDate>false</LinksUpToDate>
  <CharactersWithSpaces>1116</CharactersWithSpaces>
  <Application>WPS Office_11.8.2.1111_F1E327BC-269C-435d-A152-05C5408002CA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2022-04-13T10:25:00Z</dcterms:created>
  <dc:creator>谢建伟</dc:creator>
  <cp:lastModifiedBy>gxxc</cp:lastModifiedBy>
  <dcterms:modified xsi:type="dcterms:W3CDTF">2022-08-15T18:00:05Z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  <property fmtid="{D5CDD505-2E9C-101B-9397-08002B2CF9AE}" pid="3" name="ICV">
    <vt:lpwstr>084395CCACD547A69B47DDBE27B7D42F</vt:lpwstr>
  </property>
</Properties>
</file>