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595" w:rsidRDefault="00720595" w:rsidP="00FD732C">
      <w:pPr>
        <w:spacing w:line="580" w:lineRule="exact"/>
        <w:jc w:val="left"/>
        <w:rPr>
          <w:rFonts w:ascii="黑体" w:eastAsia="黑体" w:hAnsi="黑体" w:cs="Times New Roman"/>
          <w:color w:val="000000"/>
          <w:sz w:val="32"/>
          <w:szCs w:val="32"/>
        </w:rPr>
      </w:pPr>
      <w:r w:rsidRPr="00CB387F">
        <w:rPr>
          <w:rFonts w:ascii="黑体" w:eastAsia="黑体" w:hAnsi="黑体" w:cs="黑体" w:hint="eastAsia"/>
          <w:color w:val="000000"/>
          <w:sz w:val="32"/>
          <w:szCs w:val="32"/>
        </w:rPr>
        <w:t>附件</w:t>
      </w:r>
      <w:r w:rsidRPr="00CB387F">
        <w:rPr>
          <w:rFonts w:ascii="黑体" w:eastAsia="黑体" w:hAnsi="黑体" w:cs="黑体"/>
          <w:color w:val="000000"/>
          <w:sz w:val="32"/>
          <w:szCs w:val="32"/>
        </w:rPr>
        <w:t>1</w:t>
      </w:r>
    </w:p>
    <w:p w:rsidR="00720595" w:rsidRPr="00CB387F" w:rsidRDefault="00720595" w:rsidP="00FD732C">
      <w:pPr>
        <w:spacing w:line="580" w:lineRule="exact"/>
        <w:jc w:val="left"/>
        <w:rPr>
          <w:rFonts w:ascii="黑体" w:eastAsia="黑体" w:hAnsi="黑体" w:cs="Times New Roman"/>
          <w:color w:val="000000"/>
          <w:sz w:val="32"/>
          <w:szCs w:val="32"/>
        </w:rPr>
      </w:pPr>
    </w:p>
    <w:p w:rsidR="00720595" w:rsidRPr="00CB387F" w:rsidRDefault="00720595" w:rsidP="00FD732C">
      <w:pPr>
        <w:spacing w:afterLines="100" w:line="580" w:lineRule="exact"/>
        <w:jc w:val="center"/>
        <w:rPr>
          <w:rFonts w:ascii="方正小标宋简体" w:eastAsia="方正小标宋简体" w:hAnsi="黑体" w:cs="Times New Roman"/>
          <w:color w:val="000000"/>
          <w:sz w:val="44"/>
          <w:szCs w:val="44"/>
        </w:rPr>
      </w:pPr>
      <w:r w:rsidRPr="00CB387F">
        <w:rPr>
          <w:rFonts w:ascii="方正小标宋简体" w:eastAsia="方正小标宋简体" w:hAnsi="黑体" w:cs="方正小标宋简体" w:hint="eastAsia"/>
          <w:color w:val="000000"/>
          <w:sz w:val="44"/>
          <w:szCs w:val="44"/>
        </w:rPr>
        <w:t>玉林市创建全国无障碍环境示范市责任分工表</w:t>
      </w:r>
    </w:p>
    <w:tbl>
      <w:tblPr>
        <w:tblW w:w="13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tblPr>
      <w:tblGrid>
        <w:gridCol w:w="583"/>
        <w:gridCol w:w="1776"/>
        <w:gridCol w:w="5899"/>
        <w:gridCol w:w="2281"/>
        <w:gridCol w:w="2340"/>
        <w:gridCol w:w="900"/>
      </w:tblGrid>
      <w:tr w:rsidR="00720595" w:rsidTr="00B23F22">
        <w:trPr>
          <w:trHeight w:val="530"/>
          <w:tblHeader/>
          <w:jc w:val="center"/>
        </w:trPr>
        <w:tc>
          <w:tcPr>
            <w:tcW w:w="583" w:type="dxa"/>
            <w:vAlign w:val="center"/>
          </w:tcPr>
          <w:p w:rsidR="00720595" w:rsidRPr="0051521B" w:rsidRDefault="00720595" w:rsidP="00B23F22">
            <w:pPr>
              <w:spacing w:line="240" w:lineRule="exact"/>
              <w:jc w:val="center"/>
              <w:rPr>
                <w:rFonts w:ascii="黑体" w:eastAsia="黑体" w:hAnsi="黑体" w:cs="Times New Roman"/>
                <w:color w:val="000000"/>
                <w:sz w:val="28"/>
                <w:szCs w:val="28"/>
              </w:rPr>
            </w:pPr>
            <w:r w:rsidRPr="0051521B">
              <w:rPr>
                <w:rFonts w:ascii="黑体" w:eastAsia="黑体" w:hAnsi="黑体" w:cs="黑体" w:hint="eastAsia"/>
                <w:color w:val="000000"/>
                <w:sz w:val="24"/>
                <w:szCs w:val="24"/>
              </w:rPr>
              <w:t>序号</w:t>
            </w:r>
          </w:p>
        </w:tc>
        <w:tc>
          <w:tcPr>
            <w:tcW w:w="1776" w:type="dxa"/>
            <w:vAlign w:val="center"/>
          </w:tcPr>
          <w:p w:rsidR="00720595" w:rsidRPr="0051521B" w:rsidRDefault="00720595" w:rsidP="00B23F22">
            <w:pPr>
              <w:jc w:val="center"/>
              <w:rPr>
                <w:rFonts w:ascii="黑体" w:eastAsia="黑体" w:hAnsi="黑体" w:cs="Times New Roman"/>
                <w:color w:val="000000"/>
                <w:sz w:val="28"/>
                <w:szCs w:val="28"/>
              </w:rPr>
            </w:pPr>
            <w:r w:rsidRPr="0051521B">
              <w:rPr>
                <w:rFonts w:ascii="黑体" w:eastAsia="黑体" w:hAnsi="黑体" w:cs="黑体" w:hint="eastAsia"/>
                <w:color w:val="000000"/>
                <w:sz w:val="24"/>
                <w:szCs w:val="24"/>
              </w:rPr>
              <w:t>项目</w:t>
            </w:r>
          </w:p>
        </w:tc>
        <w:tc>
          <w:tcPr>
            <w:tcW w:w="5899" w:type="dxa"/>
            <w:vAlign w:val="center"/>
          </w:tcPr>
          <w:p w:rsidR="00720595" w:rsidRPr="0051521B" w:rsidRDefault="00720595" w:rsidP="00B23F22">
            <w:pPr>
              <w:jc w:val="center"/>
              <w:rPr>
                <w:rFonts w:ascii="黑体" w:eastAsia="黑体" w:hAnsi="黑体" w:cs="Times New Roman"/>
                <w:color w:val="000000"/>
                <w:sz w:val="28"/>
                <w:szCs w:val="28"/>
              </w:rPr>
            </w:pPr>
            <w:r w:rsidRPr="0051521B">
              <w:rPr>
                <w:rFonts w:ascii="黑体" w:eastAsia="黑体" w:hAnsi="黑体" w:cs="黑体" w:hint="eastAsia"/>
                <w:color w:val="000000"/>
                <w:sz w:val="24"/>
                <w:szCs w:val="24"/>
              </w:rPr>
              <w:t>责任内容</w:t>
            </w:r>
          </w:p>
        </w:tc>
        <w:tc>
          <w:tcPr>
            <w:tcW w:w="2281" w:type="dxa"/>
            <w:vAlign w:val="center"/>
          </w:tcPr>
          <w:p w:rsidR="00720595" w:rsidRPr="0051521B" w:rsidRDefault="00720595" w:rsidP="00B23F22">
            <w:pPr>
              <w:jc w:val="center"/>
              <w:rPr>
                <w:rFonts w:ascii="黑体" w:eastAsia="黑体" w:hAnsi="黑体" w:cs="Times New Roman"/>
                <w:color w:val="000000"/>
                <w:sz w:val="28"/>
                <w:szCs w:val="28"/>
              </w:rPr>
            </w:pPr>
            <w:r w:rsidRPr="0051521B">
              <w:rPr>
                <w:rFonts w:ascii="黑体" w:eastAsia="黑体" w:hAnsi="黑体" w:cs="黑体" w:hint="eastAsia"/>
                <w:color w:val="000000"/>
                <w:sz w:val="24"/>
                <w:szCs w:val="24"/>
              </w:rPr>
              <w:t>牵头单位</w:t>
            </w:r>
          </w:p>
        </w:tc>
        <w:tc>
          <w:tcPr>
            <w:tcW w:w="2340" w:type="dxa"/>
            <w:vAlign w:val="center"/>
          </w:tcPr>
          <w:p w:rsidR="00720595" w:rsidRPr="0051521B" w:rsidRDefault="00720595" w:rsidP="00B23F22">
            <w:pPr>
              <w:jc w:val="center"/>
              <w:rPr>
                <w:rFonts w:ascii="黑体" w:eastAsia="黑体" w:hAnsi="黑体" w:cs="Times New Roman"/>
                <w:color w:val="000000"/>
                <w:sz w:val="28"/>
                <w:szCs w:val="28"/>
              </w:rPr>
            </w:pPr>
            <w:r w:rsidRPr="0051521B">
              <w:rPr>
                <w:rFonts w:ascii="黑体" w:eastAsia="黑体" w:hAnsi="黑体" w:cs="黑体" w:hint="eastAsia"/>
                <w:color w:val="000000"/>
                <w:sz w:val="24"/>
                <w:szCs w:val="24"/>
              </w:rPr>
              <w:t>协助单位</w:t>
            </w:r>
          </w:p>
        </w:tc>
        <w:tc>
          <w:tcPr>
            <w:tcW w:w="900" w:type="dxa"/>
            <w:vAlign w:val="center"/>
          </w:tcPr>
          <w:p w:rsidR="00720595" w:rsidRPr="0051521B" w:rsidRDefault="00720595" w:rsidP="00B23F22">
            <w:pPr>
              <w:jc w:val="center"/>
              <w:rPr>
                <w:rFonts w:ascii="黑体" w:eastAsia="黑体" w:hAnsi="黑体" w:cs="Times New Roman"/>
                <w:color w:val="000000"/>
                <w:sz w:val="28"/>
                <w:szCs w:val="28"/>
              </w:rPr>
            </w:pPr>
            <w:r w:rsidRPr="0051521B">
              <w:rPr>
                <w:rFonts w:ascii="黑体" w:eastAsia="黑体" w:hAnsi="黑体" w:cs="黑体" w:hint="eastAsia"/>
                <w:color w:val="000000"/>
                <w:sz w:val="24"/>
                <w:szCs w:val="24"/>
              </w:rPr>
              <w:t>备注</w:t>
            </w:r>
          </w:p>
        </w:tc>
      </w:tr>
      <w:tr w:rsidR="00720595" w:rsidTr="00B23F22">
        <w:trPr>
          <w:trHeight w:val="530"/>
          <w:jc w:val="center"/>
        </w:trPr>
        <w:tc>
          <w:tcPr>
            <w:tcW w:w="13779" w:type="dxa"/>
            <w:gridSpan w:val="6"/>
            <w:vAlign w:val="center"/>
          </w:tcPr>
          <w:p w:rsidR="00720595" w:rsidRDefault="00720595" w:rsidP="00B23F22">
            <w:pPr>
              <w:jc w:val="center"/>
              <w:rPr>
                <w:rFonts w:cs="Times New Roman"/>
                <w:b/>
                <w:bCs/>
                <w:color w:val="000000"/>
                <w:sz w:val="24"/>
                <w:szCs w:val="24"/>
              </w:rPr>
            </w:pPr>
            <w:r w:rsidRPr="0051521B">
              <w:rPr>
                <w:rFonts w:ascii="黑体" w:eastAsia="黑体" w:hAnsi="黑体" w:cs="黑体" w:hint="eastAsia"/>
                <w:color w:val="000000"/>
                <w:sz w:val="24"/>
                <w:szCs w:val="24"/>
              </w:rPr>
              <w:t>类别一：无障碍环境建设组织管理</w:t>
            </w:r>
          </w:p>
        </w:tc>
      </w:tr>
      <w:tr w:rsidR="00720595" w:rsidTr="00B23F22">
        <w:trPr>
          <w:trHeight w:val="1104"/>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1</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无障碍环境建设领导小组</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成立玉林市创建全国无障碍环境市工作领导小组，建立各司其职、协调配合的工作机制，在无障碍环境建设中切实发挥组织、协调作用。</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900" w:type="dxa"/>
            <w:vAlign w:val="center"/>
          </w:tcPr>
          <w:p w:rsidR="00720595" w:rsidRDefault="00720595" w:rsidP="00B23F22">
            <w:pPr>
              <w:spacing w:line="360" w:lineRule="exact"/>
              <w:rPr>
                <w:rFonts w:ascii="仿宋" w:eastAsia="仿宋" w:hAnsi="仿宋" w:cs="Times New Roman"/>
                <w:color w:val="000000"/>
                <w:sz w:val="24"/>
                <w:szCs w:val="24"/>
              </w:rPr>
            </w:pPr>
          </w:p>
        </w:tc>
      </w:tr>
      <w:tr w:rsidR="00720595" w:rsidTr="00B23F22">
        <w:trPr>
          <w:trHeight w:val="1104"/>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2</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无障碍环境建设规范性文件</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制定无障碍环境建设的规范性文件。</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900" w:type="dxa"/>
            <w:vAlign w:val="center"/>
          </w:tcPr>
          <w:p w:rsidR="00720595" w:rsidRDefault="00720595" w:rsidP="00B23F22">
            <w:pPr>
              <w:spacing w:line="360" w:lineRule="exact"/>
              <w:rPr>
                <w:rFonts w:ascii="仿宋" w:eastAsia="仿宋" w:hAnsi="仿宋" w:cs="Times New Roman"/>
                <w:color w:val="000000"/>
                <w:sz w:val="24"/>
                <w:szCs w:val="24"/>
              </w:rPr>
            </w:pPr>
          </w:p>
        </w:tc>
      </w:tr>
      <w:tr w:rsidR="00720595" w:rsidTr="00B23F22">
        <w:trPr>
          <w:trHeight w:val="1104"/>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3</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无障碍环境建设发展规划</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将无障碍环境建设发展规划纳入当地国民经济和社会发展规划以及城乡规划。</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市发展改革委</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市自然资源局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900" w:type="dxa"/>
            <w:vAlign w:val="center"/>
          </w:tcPr>
          <w:p w:rsidR="00720595" w:rsidRDefault="00720595" w:rsidP="00B23F22">
            <w:pPr>
              <w:spacing w:line="360" w:lineRule="exact"/>
              <w:rPr>
                <w:rFonts w:ascii="仿宋" w:eastAsia="仿宋" w:hAnsi="仿宋" w:cs="Times New Roman"/>
                <w:color w:val="000000"/>
                <w:sz w:val="24"/>
                <w:szCs w:val="24"/>
              </w:rPr>
            </w:pPr>
          </w:p>
        </w:tc>
      </w:tr>
      <w:tr w:rsidR="00720595" w:rsidTr="00B23F22">
        <w:trPr>
          <w:trHeight w:val="1104"/>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4</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无障碍环境建设经费和工作经费</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将无障碍环境建设经费和工作经费纳入财政预算，多渠道筹措资金。</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市财政局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市发展改革委</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900" w:type="dxa"/>
            <w:vAlign w:val="center"/>
          </w:tcPr>
          <w:p w:rsidR="00720595" w:rsidRDefault="00720595" w:rsidP="00B23F22">
            <w:pPr>
              <w:spacing w:line="360" w:lineRule="exact"/>
              <w:rPr>
                <w:rFonts w:ascii="仿宋" w:eastAsia="仿宋" w:hAnsi="仿宋" w:cs="Times New Roman"/>
                <w:color w:val="000000"/>
                <w:sz w:val="24"/>
                <w:szCs w:val="24"/>
              </w:rPr>
            </w:pPr>
          </w:p>
        </w:tc>
      </w:tr>
      <w:tr w:rsidR="00720595" w:rsidTr="00B23F22">
        <w:trPr>
          <w:trHeight w:val="1104"/>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5</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既有道路和建筑物无障碍设施改造计划</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制定既有道路和建筑物无障碍改造计划，并组织实施。</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市城市管理监督局</w:t>
            </w:r>
          </w:p>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color w:val="000000"/>
                <w:sz w:val="24"/>
                <w:szCs w:val="24"/>
              </w:rPr>
              <w:t>市</w:t>
            </w:r>
            <w:r>
              <w:rPr>
                <w:rFonts w:ascii="仿宋" w:eastAsia="仿宋" w:hAnsi="仿宋" w:cs="仿宋" w:hint="eastAsia"/>
                <w:sz w:val="24"/>
                <w:szCs w:val="24"/>
              </w:rPr>
              <w:t>园林服务中心</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900" w:type="dxa"/>
            <w:vAlign w:val="center"/>
          </w:tcPr>
          <w:p w:rsidR="00720595" w:rsidRDefault="00720595" w:rsidP="00B23F22">
            <w:pPr>
              <w:spacing w:line="360" w:lineRule="exact"/>
              <w:rPr>
                <w:rFonts w:ascii="仿宋" w:eastAsia="仿宋" w:hAnsi="仿宋" w:cs="Times New Roman"/>
                <w:color w:val="000000"/>
                <w:sz w:val="24"/>
                <w:szCs w:val="24"/>
              </w:rPr>
            </w:pPr>
          </w:p>
        </w:tc>
      </w:tr>
      <w:tr w:rsidR="00720595" w:rsidTr="00B23F22">
        <w:trPr>
          <w:trHeight w:val="1200"/>
          <w:jc w:val="center"/>
        </w:trPr>
        <w:tc>
          <w:tcPr>
            <w:tcW w:w="583" w:type="dxa"/>
            <w:vMerge w:val="restart"/>
            <w:vAlign w:val="center"/>
          </w:tcPr>
          <w:p w:rsidR="00720595" w:rsidRDefault="00720595" w:rsidP="00B23F22">
            <w:pPr>
              <w:spacing w:line="320" w:lineRule="exact"/>
              <w:jc w:val="left"/>
              <w:rPr>
                <w:color w:val="000000"/>
                <w:sz w:val="28"/>
                <w:szCs w:val="28"/>
              </w:rPr>
            </w:pPr>
            <w:r>
              <w:rPr>
                <w:color w:val="000000"/>
                <w:sz w:val="28"/>
                <w:szCs w:val="28"/>
              </w:rPr>
              <w:t xml:space="preserve"> 6</w:t>
            </w:r>
          </w:p>
        </w:tc>
        <w:tc>
          <w:tcPr>
            <w:tcW w:w="1776" w:type="dxa"/>
            <w:vMerge w:val="restart"/>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已建成的无障碍设施监督管理</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已经建成的无障碍设施应加强管理和维护，并确保使用情况良好。</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市城市管理监督局</w:t>
            </w:r>
          </w:p>
        </w:tc>
        <w:tc>
          <w:tcPr>
            <w:tcW w:w="900" w:type="dxa"/>
            <w:vAlign w:val="center"/>
          </w:tcPr>
          <w:p w:rsidR="00720595" w:rsidRDefault="00720595" w:rsidP="00B23F22">
            <w:pPr>
              <w:spacing w:line="360" w:lineRule="exact"/>
              <w:rPr>
                <w:rFonts w:ascii="仿宋" w:eastAsia="仿宋" w:hAnsi="仿宋" w:cs="Times New Roman"/>
                <w:color w:val="000000"/>
                <w:sz w:val="24"/>
                <w:szCs w:val="24"/>
              </w:rPr>
            </w:pPr>
          </w:p>
        </w:tc>
      </w:tr>
      <w:tr w:rsidR="00720595" w:rsidTr="00B23F22">
        <w:trPr>
          <w:trHeight w:val="1200"/>
          <w:jc w:val="center"/>
        </w:trPr>
        <w:tc>
          <w:tcPr>
            <w:tcW w:w="583" w:type="dxa"/>
            <w:vMerge/>
            <w:vAlign w:val="center"/>
          </w:tcPr>
          <w:p w:rsidR="00720595" w:rsidRDefault="00720595" w:rsidP="00B23F22">
            <w:pPr>
              <w:widowControl/>
              <w:spacing w:line="320" w:lineRule="exact"/>
              <w:jc w:val="left"/>
              <w:rPr>
                <w:rFonts w:cs="Times New Roman"/>
                <w:color w:val="000000"/>
                <w:sz w:val="28"/>
                <w:szCs w:val="28"/>
              </w:rPr>
            </w:pPr>
          </w:p>
        </w:tc>
        <w:tc>
          <w:tcPr>
            <w:tcW w:w="1776" w:type="dxa"/>
            <w:vMerge/>
            <w:vAlign w:val="center"/>
          </w:tcPr>
          <w:p w:rsidR="00720595" w:rsidRDefault="00720595" w:rsidP="00B23F22">
            <w:pPr>
              <w:widowControl/>
              <w:spacing w:line="320" w:lineRule="exact"/>
              <w:jc w:val="left"/>
              <w:rPr>
                <w:rFonts w:ascii="仿宋" w:eastAsia="仿宋" w:hAnsi="仿宋" w:cs="Times New Roman"/>
                <w:color w:val="000000"/>
                <w:sz w:val="24"/>
                <w:szCs w:val="24"/>
              </w:rPr>
            </w:pP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加强对无障碍设施的监督管理，对侵占、破坏市政道路、公园广场等无障碍设施的行为依法查处。</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市城市管理监督局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900" w:type="dxa"/>
            <w:vAlign w:val="center"/>
          </w:tcPr>
          <w:p w:rsidR="00720595" w:rsidRDefault="00720595" w:rsidP="00B23F22">
            <w:pPr>
              <w:spacing w:line="360" w:lineRule="exact"/>
              <w:rPr>
                <w:rFonts w:ascii="仿宋" w:eastAsia="仿宋" w:hAnsi="仿宋" w:cs="Times New Roman"/>
                <w:color w:val="000000"/>
                <w:sz w:val="24"/>
                <w:szCs w:val="24"/>
              </w:rPr>
            </w:pPr>
          </w:p>
        </w:tc>
      </w:tr>
      <w:tr w:rsidR="00720595" w:rsidTr="00B23F22">
        <w:trPr>
          <w:trHeight w:val="1356"/>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7</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社会监督机制</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建立有效社会监督机制，发挥新闻媒体、人大代表、政协委员以及残疾人、老年人等社会群体的监督作用，对无障碍环境建设和管理进行监督。</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p>
        </w:tc>
        <w:tc>
          <w:tcPr>
            <w:tcW w:w="900" w:type="dxa"/>
            <w:vAlign w:val="center"/>
          </w:tcPr>
          <w:p w:rsidR="00720595" w:rsidRDefault="00720595" w:rsidP="00B23F22">
            <w:pPr>
              <w:spacing w:line="360" w:lineRule="exact"/>
              <w:jc w:val="left"/>
              <w:rPr>
                <w:rFonts w:ascii="仿宋" w:eastAsia="仿宋" w:hAnsi="仿宋" w:cs="Times New Roman"/>
                <w:color w:val="000000"/>
                <w:sz w:val="24"/>
                <w:szCs w:val="24"/>
              </w:rPr>
            </w:pPr>
          </w:p>
        </w:tc>
      </w:tr>
      <w:tr w:rsidR="00720595" w:rsidTr="00B23F22">
        <w:trPr>
          <w:trHeight w:val="1356"/>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8</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无障碍相关规范培训</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组织开展对相关技术和管理人员的培训，提高相关技术和管理人员执行无障碍相关标准规范的自觉性和能力。</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900" w:type="dxa"/>
            <w:vAlign w:val="center"/>
          </w:tcPr>
          <w:p w:rsidR="00720595" w:rsidRDefault="00720595" w:rsidP="00B23F22">
            <w:pPr>
              <w:spacing w:line="360" w:lineRule="exact"/>
              <w:rPr>
                <w:rFonts w:ascii="仿宋" w:eastAsia="仿宋" w:hAnsi="仿宋" w:cs="Times New Roman"/>
                <w:color w:val="000000"/>
                <w:sz w:val="24"/>
                <w:szCs w:val="24"/>
              </w:rPr>
            </w:pPr>
          </w:p>
        </w:tc>
      </w:tr>
      <w:tr w:rsidR="00720595" w:rsidTr="00B23F22">
        <w:trPr>
          <w:trHeight w:val="1356"/>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9</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无障碍建设的专家组技术指导</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有关建设、设计单位的专家组成无障碍环境建设技术指导组，承担无障碍环境建设的规划、施工、改造和特别环境的技术指导和服务。</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900" w:type="dxa"/>
            <w:vAlign w:val="center"/>
          </w:tcPr>
          <w:p w:rsidR="00720595" w:rsidRDefault="00720595" w:rsidP="00B23F22">
            <w:pPr>
              <w:spacing w:line="360" w:lineRule="exact"/>
              <w:rPr>
                <w:rFonts w:ascii="仿宋" w:eastAsia="仿宋" w:hAnsi="仿宋" w:cs="Times New Roman"/>
                <w:color w:val="000000"/>
                <w:sz w:val="24"/>
                <w:szCs w:val="24"/>
              </w:rPr>
            </w:pPr>
          </w:p>
        </w:tc>
      </w:tr>
      <w:tr w:rsidR="00720595" w:rsidTr="00B23F22">
        <w:trPr>
          <w:trHeight w:val="1356"/>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10</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无障碍宣传工作</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组织开展无障碍宣传工作，制作播出无障碍公益广告、宣传片、专题片，印发宣传资料，提高公众的无障碍意识，教育公众维护、爱护无障碍设施，形成无障碍环境建设的良好社会氛围。</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市委宣传部</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市残联</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市文化广电体育和旅游局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900" w:type="dxa"/>
            <w:vAlign w:val="center"/>
          </w:tcPr>
          <w:p w:rsidR="00720595" w:rsidRDefault="00720595" w:rsidP="00B23F22">
            <w:pPr>
              <w:spacing w:line="360" w:lineRule="exact"/>
              <w:jc w:val="center"/>
              <w:rPr>
                <w:rFonts w:ascii="仿宋" w:eastAsia="仿宋" w:hAnsi="仿宋" w:cs="Times New Roman"/>
                <w:color w:val="000000"/>
                <w:sz w:val="24"/>
                <w:szCs w:val="24"/>
              </w:rPr>
            </w:pPr>
          </w:p>
        </w:tc>
      </w:tr>
      <w:tr w:rsidR="00720595" w:rsidTr="00B23F22">
        <w:trPr>
          <w:trHeight w:val="554"/>
          <w:jc w:val="center"/>
        </w:trPr>
        <w:tc>
          <w:tcPr>
            <w:tcW w:w="13779" w:type="dxa"/>
            <w:gridSpan w:val="6"/>
            <w:vAlign w:val="center"/>
          </w:tcPr>
          <w:p w:rsidR="00720595" w:rsidRPr="004774FF" w:rsidRDefault="00720595" w:rsidP="00B23F22">
            <w:pPr>
              <w:spacing w:line="320" w:lineRule="exact"/>
              <w:jc w:val="center"/>
              <w:rPr>
                <w:rFonts w:ascii="黑体" w:eastAsia="黑体" w:hAnsi="黑体" w:cs="Times New Roman"/>
                <w:color w:val="000000"/>
                <w:sz w:val="24"/>
                <w:szCs w:val="24"/>
              </w:rPr>
            </w:pPr>
            <w:r w:rsidRPr="004774FF">
              <w:rPr>
                <w:rFonts w:ascii="黑体" w:eastAsia="黑体" w:hAnsi="黑体" w:cs="黑体" w:hint="eastAsia"/>
                <w:color w:val="000000"/>
                <w:sz w:val="24"/>
                <w:szCs w:val="24"/>
              </w:rPr>
              <w:t>类别二：道路无障碍环境建设与改造</w:t>
            </w:r>
          </w:p>
        </w:tc>
      </w:tr>
      <w:tr w:rsidR="00720595" w:rsidTr="00B23F22">
        <w:trPr>
          <w:trHeight w:val="1995"/>
          <w:jc w:val="center"/>
        </w:trPr>
        <w:tc>
          <w:tcPr>
            <w:tcW w:w="583" w:type="dxa"/>
            <w:vAlign w:val="center"/>
          </w:tcPr>
          <w:p w:rsidR="00720595" w:rsidRDefault="00720595" w:rsidP="00B23F22">
            <w:pPr>
              <w:spacing w:line="320" w:lineRule="exact"/>
              <w:jc w:val="center"/>
              <w:rPr>
                <w:rFonts w:ascii="仿宋" w:eastAsia="仿宋" w:hAnsi="仿宋" w:cs="Times New Roman"/>
                <w:color w:val="000000"/>
                <w:sz w:val="24"/>
                <w:szCs w:val="24"/>
              </w:rPr>
            </w:pPr>
            <w:r>
              <w:rPr>
                <w:color w:val="000000"/>
                <w:sz w:val="28"/>
                <w:szCs w:val="28"/>
              </w:rPr>
              <w:t>1</w:t>
            </w:r>
          </w:p>
        </w:tc>
        <w:tc>
          <w:tcPr>
            <w:tcW w:w="1776"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缘石坡道</w:t>
            </w:r>
          </w:p>
        </w:tc>
        <w:tc>
          <w:tcPr>
            <w:tcW w:w="5899" w:type="dxa"/>
            <w:vAlign w:val="center"/>
          </w:tcPr>
          <w:p w:rsidR="00720595" w:rsidRDefault="00720595" w:rsidP="00B23F22">
            <w:pPr>
              <w:spacing w:line="300" w:lineRule="exact"/>
              <w:rPr>
                <w:rFonts w:ascii="仿宋" w:eastAsia="仿宋" w:hAnsi="仿宋" w:cs="Times New Roman"/>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1</w:t>
            </w:r>
            <w:r>
              <w:rPr>
                <w:rFonts w:ascii="仿宋" w:eastAsia="仿宋" w:hAnsi="仿宋" w:cs="仿宋" w:hint="eastAsia"/>
                <w:color w:val="000000"/>
                <w:sz w:val="24"/>
                <w:szCs w:val="24"/>
              </w:rPr>
              <w:t>）新建、扩建和改建道路的人行道，在各种路口、出入口及人行横道等处缘石坡道设置率应达到</w:t>
            </w:r>
            <w:r>
              <w:rPr>
                <w:rFonts w:ascii="仿宋" w:eastAsia="仿宋" w:hAnsi="仿宋" w:cs="仿宋"/>
                <w:color w:val="000000"/>
                <w:sz w:val="24"/>
                <w:szCs w:val="24"/>
              </w:rPr>
              <w:t>100%</w:t>
            </w:r>
            <w:r>
              <w:rPr>
                <w:rFonts w:ascii="仿宋" w:eastAsia="仿宋" w:hAnsi="仿宋" w:cs="仿宋" w:hint="eastAsia"/>
                <w:color w:val="000000"/>
                <w:sz w:val="24"/>
                <w:szCs w:val="24"/>
              </w:rPr>
              <w:t>，缘石坡道应尽量采用全宽式单面坡缘石坡道，并符合《无障碍设计规范》</w:t>
            </w:r>
            <w:r>
              <w:rPr>
                <w:rFonts w:ascii="仿宋" w:eastAsia="仿宋" w:hAnsi="仿宋" w:cs="仿宋"/>
                <w:color w:val="000000"/>
                <w:sz w:val="24"/>
                <w:szCs w:val="24"/>
              </w:rPr>
              <w:t>(GB50763)</w:t>
            </w:r>
            <w:r>
              <w:rPr>
                <w:rFonts w:ascii="仿宋" w:eastAsia="仿宋" w:hAnsi="仿宋" w:cs="仿宋" w:hint="eastAsia"/>
                <w:color w:val="000000"/>
                <w:sz w:val="24"/>
                <w:szCs w:val="24"/>
              </w:rPr>
              <w:t>的要求。</w:t>
            </w:r>
          </w:p>
          <w:p w:rsidR="00720595" w:rsidRDefault="00720595" w:rsidP="00B23F22">
            <w:pPr>
              <w:spacing w:line="300" w:lineRule="exact"/>
              <w:rPr>
                <w:rFonts w:ascii="仿宋" w:eastAsia="仿宋" w:hAnsi="仿宋" w:cs="Times New Roman"/>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2</w:t>
            </w:r>
            <w:r>
              <w:rPr>
                <w:rFonts w:ascii="仿宋" w:eastAsia="仿宋" w:hAnsi="仿宋" w:cs="仿宋" w:hint="eastAsia"/>
                <w:color w:val="000000"/>
                <w:sz w:val="24"/>
                <w:szCs w:val="24"/>
              </w:rPr>
              <w:t>）人行道及人行横道各种路口坡化改造率（含新建率）应不低于</w:t>
            </w:r>
            <w:r>
              <w:rPr>
                <w:rFonts w:ascii="仿宋" w:eastAsia="仿宋" w:hAnsi="仿宋" w:cs="仿宋"/>
                <w:color w:val="000000"/>
                <w:sz w:val="24"/>
                <w:szCs w:val="24"/>
              </w:rPr>
              <w:t>85%</w:t>
            </w:r>
            <w:r>
              <w:rPr>
                <w:rFonts w:ascii="仿宋" w:eastAsia="仿宋" w:hAnsi="仿宋" w:cs="仿宋" w:hint="eastAsia"/>
                <w:color w:val="000000"/>
                <w:sz w:val="24"/>
                <w:szCs w:val="24"/>
              </w:rPr>
              <w:t>，且布局合理。</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市城市管理监督局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玉州区人民政府</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玉东新区管委</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市自然资源局</w:t>
            </w:r>
          </w:p>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color w:val="000000"/>
                <w:sz w:val="24"/>
                <w:szCs w:val="24"/>
              </w:rPr>
              <w:t>市</w:t>
            </w:r>
            <w:r>
              <w:rPr>
                <w:rFonts w:ascii="仿宋" w:eastAsia="仿宋" w:hAnsi="仿宋" w:cs="仿宋" w:hint="eastAsia"/>
                <w:sz w:val="24"/>
                <w:szCs w:val="24"/>
              </w:rPr>
              <w:t>公安局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sz w:val="24"/>
                <w:szCs w:val="24"/>
              </w:rPr>
              <w:t>玉林城投集团</w:t>
            </w:r>
          </w:p>
        </w:tc>
        <w:tc>
          <w:tcPr>
            <w:tcW w:w="900" w:type="dxa"/>
            <w:vAlign w:val="center"/>
          </w:tcPr>
          <w:p w:rsidR="00720595" w:rsidRDefault="00720595" w:rsidP="00B23F22">
            <w:pPr>
              <w:spacing w:line="360" w:lineRule="exact"/>
              <w:rPr>
                <w:rFonts w:ascii="仿宋" w:eastAsia="仿宋" w:hAnsi="仿宋" w:cs="Times New Roman"/>
                <w:color w:val="000000"/>
                <w:sz w:val="24"/>
                <w:szCs w:val="24"/>
              </w:rPr>
            </w:pPr>
          </w:p>
        </w:tc>
      </w:tr>
      <w:tr w:rsidR="00720595" w:rsidTr="00B23F22">
        <w:trPr>
          <w:trHeight w:val="1824"/>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2</w:t>
            </w:r>
          </w:p>
        </w:tc>
        <w:tc>
          <w:tcPr>
            <w:tcW w:w="1776"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盲道</w:t>
            </w:r>
          </w:p>
        </w:tc>
        <w:tc>
          <w:tcPr>
            <w:tcW w:w="5899" w:type="dxa"/>
            <w:vAlign w:val="center"/>
          </w:tcPr>
          <w:p w:rsidR="00720595" w:rsidRDefault="00720595" w:rsidP="00B23F22">
            <w:pPr>
              <w:spacing w:line="300" w:lineRule="exact"/>
              <w:rPr>
                <w:rFonts w:ascii="仿宋" w:eastAsia="仿宋" w:hAnsi="仿宋" w:cs="Times New Roman"/>
                <w:color w:val="000000"/>
                <w:sz w:val="24"/>
                <w:szCs w:val="24"/>
              </w:rPr>
            </w:pPr>
            <w:r>
              <w:rPr>
                <w:rFonts w:ascii="仿宋" w:eastAsia="仿宋" w:hAnsi="仿宋" w:cs="仿宋" w:hint="eastAsia"/>
                <w:color w:val="000000"/>
                <w:sz w:val="24"/>
                <w:szCs w:val="24"/>
              </w:rPr>
              <w:t>新建、扩建和改建的主要商业街、步行街等处的人行道应设置盲道，视觉障碍者集中区域周边道路、坡道的上下坡边缘处应设置提示盲道，道路周边场所、建筑等出入口设置的盲道应与道路盲道相衔接，并符合《无障碍设计规范》</w:t>
            </w:r>
            <w:r>
              <w:rPr>
                <w:rFonts w:ascii="仿宋" w:eastAsia="仿宋" w:hAnsi="仿宋" w:cs="仿宋"/>
                <w:color w:val="000000"/>
                <w:sz w:val="24"/>
                <w:szCs w:val="24"/>
              </w:rPr>
              <w:t>(GB50763)</w:t>
            </w:r>
            <w:r>
              <w:rPr>
                <w:rFonts w:ascii="仿宋" w:eastAsia="仿宋" w:hAnsi="仿宋" w:cs="仿宋" w:hint="eastAsia"/>
                <w:color w:val="000000"/>
                <w:sz w:val="24"/>
                <w:szCs w:val="24"/>
              </w:rPr>
              <w:t>的要求。</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市城市管理监督局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玉州区人民政府</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玉东新区管委</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市自然资源局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sz w:val="24"/>
                <w:szCs w:val="24"/>
              </w:rPr>
              <w:t>玉林城投集团</w:t>
            </w:r>
          </w:p>
        </w:tc>
        <w:tc>
          <w:tcPr>
            <w:tcW w:w="900" w:type="dxa"/>
            <w:vAlign w:val="center"/>
          </w:tcPr>
          <w:p w:rsidR="00720595" w:rsidRDefault="00720595" w:rsidP="00B23F22">
            <w:pPr>
              <w:spacing w:line="360" w:lineRule="exact"/>
              <w:rPr>
                <w:rFonts w:ascii="仿宋" w:eastAsia="仿宋" w:hAnsi="仿宋" w:cs="Times New Roman"/>
                <w:color w:val="000000"/>
                <w:sz w:val="24"/>
                <w:szCs w:val="24"/>
              </w:rPr>
            </w:pPr>
          </w:p>
        </w:tc>
      </w:tr>
      <w:tr w:rsidR="00720595" w:rsidTr="00B23F22">
        <w:trPr>
          <w:trHeight w:val="1776"/>
          <w:jc w:val="center"/>
        </w:trPr>
        <w:tc>
          <w:tcPr>
            <w:tcW w:w="583" w:type="dxa"/>
            <w:vMerge w:val="restart"/>
            <w:vAlign w:val="center"/>
          </w:tcPr>
          <w:p w:rsidR="00720595" w:rsidRDefault="00720595" w:rsidP="00B23F22">
            <w:pPr>
              <w:spacing w:line="320" w:lineRule="exact"/>
              <w:jc w:val="center"/>
              <w:rPr>
                <w:color w:val="000000"/>
                <w:sz w:val="28"/>
                <w:szCs w:val="28"/>
              </w:rPr>
            </w:pPr>
            <w:r>
              <w:rPr>
                <w:color w:val="000000"/>
                <w:sz w:val="28"/>
                <w:szCs w:val="28"/>
              </w:rPr>
              <w:t>3</w:t>
            </w:r>
          </w:p>
        </w:tc>
        <w:tc>
          <w:tcPr>
            <w:tcW w:w="1776" w:type="dxa"/>
            <w:vMerge w:val="restart"/>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其他设施</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新建、扩建和改建城市中心区及视觉障碍者集中区域的人行横道，应配置过街音响提示装置，人行横道的安全岛应能使轮椅通行。城市主要道路人行天桥和人行地道应设安全梯道、轮椅坡道或无障碍电梯，并设置无障碍标志牌。</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市城市管理监督局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市公安局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玉州区人民政府</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玉东新区管委</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市自然资源局</w:t>
            </w:r>
          </w:p>
        </w:tc>
        <w:tc>
          <w:tcPr>
            <w:tcW w:w="900" w:type="dxa"/>
            <w:vAlign w:val="center"/>
          </w:tcPr>
          <w:p w:rsidR="00720595" w:rsidRDefault="00720595" w:rsidP="00B23F22">
            <w:pPr>
              <w:spacing w:line="360" w:lineRule="exact"/>
              <w:rPr>
                <w:rFonts w:ascii="仿宋" w:eastAsia="仿宋" w:hAnsi="仿宋" w:cs="Times New Roman"/>
                <w:color w:val="000000"/>
                <w:sz w:val="24"/>
                <w:szCs w:val="24"/>
              </w:rPr>
            </w:pPr>
          </w:p>
        </w:tc>
      </w:tr>
      <w:tr w:rsidR="00720595" w:rsidTr="00B23F22">
        <w:trPr>
          <w:trHeight w:val="1776"/>
          <w:jc w:val="center"/>
        </w:trPr>
        <w:tc>
          <w:tcPr>
            <w:tcW w:w="583" w:type="dxa"/>
            <w:vMerge/>
            <w:vAlign w:val="center"/>
          </w:tcPr>
          <w:p w:rsidR="00720595" w:rsidRDefault="00720595" w:rsidP="00B23F22">
            <w:pPr>
              <w:widowControl/>
              <w:spacing w:line="320" w:lineRule="exact"/>
              <w:jc w:val="left"/>
              <w:rPr>
                <w:rFonts w:cs="Times New Roman"/>
                <w:color w:val="000000"/>
                <w:sz w:val="28"/>
                <w:szCs w:val="28"/>
              </w:rPr>
            </w:pPr>
          </w:p>
        </w:tc>
        <w:tc>
          <w:tcPr>
            <w:tcW w:w="1776" w:type="dxa"/>
            <w:vMerge/>
            <w:vAlign w:val="center"/>
          </w:tcPr>
          <w:p w:rsidR="00720595" w:rsidRDefault="00720595" w:rsidP="00B23F22">
            <w:pPr>
              <w:widowControl/>
              <w:spacing w:line="320" w:lineRule="exact"/>
              <w:jc w:val="left"/>
              <w:rPr>
                <w:rFonts w:ascii="仿宋" w:eastAsia="仿宋" w:hAnsi="仿宋" w:cs="Times New Roman"/>
                <w:color w:val="000000"/>
                <w:sz w:val="24"/>
                <w:szCs w:val="24"/>
              </w:rPr>
            </w:pPr>
          </w:p>
        </w:tc>
        <w:tc>
          <w:tcPr>
            <w:tcW w:w="5899" w:type="dxa"/>
            <w:vAlign w:val="center"/>
          </w:tcPr>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已建城市中心区及视觉障碍者集中区域的人行横道，应增设过街音响提示装置。人行横道的安全岛应修建轮椅通道。城市主要道路人行天桥和人行地道，宜增设安全梯道、轮椅坡道或无障碍电梯，并设置无障碍标志牌。</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市城市管理监督局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市公安局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玉州区人民政府</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玉东新区管委</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市自然资源局</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trHeight w:val="525"/>
          <w:jc w:val="center"/>
        </w:trPr>
        <w:tc>
          <w:tcPr>
            <w:tcW w:w="13779" w:type="dxa"/>
            <w:gridSpan w:val="6"/>
            <w:vAlign w:val="center"/>
          </w:tcPr>
          <w:p w:rsidR="00720595" w:rsidRPr="00F637CD" w:rsidRDefault="00720595" w:rsidP="00B23F22">
            <w:pPr>
              <w:spacing w:line="320" w:lineRule="exact"/>
              <w:jc w:val="center"/>
              <w:rPr>
                <w:rFonts w:ascii="黑体" w:eastAsia="黑体" w:hAnsi="黑体" w:cs="Times New Roman"/>
                <w:color w:val="000000"/>
                <w:sz w:val="24"/>
                <w:szCs w:val="24"/>
              </w:rPr>
            </w:pPr>
            <w:r w:rsidRPr="00F637CD">
              <w:rPr>
                <w:rFonts w:ascii="黑体" w:eastAsia="黑体" w:hAnsi="黑体" w:cs="黑体" w:hint="eastAsia"/>
                <w:color w:val="000000"/>
                <w:sz w:val="24"/>
                <w:szCs w:val="24"/>
              </w:rPr>
              <w:t>类别三：公共建筑、城市广场和城市绿地无障碍环境建设与改造</w:t>
            </w:r>
          </w:p>
        </w:tc>
      </w:tr>
      <w:tr w:rsidR="00720595" w:rsidTr="00B23F22">
        <w:trPr>
          <w:trHeight w:val="1726"/>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1</w:t>
            </w:r>
          </w:p>
        </w:tc>
        <w:tc>
          <w:tcPr>
            <w:tcW w:w="1776" w:type="dxa"/>
            <w:vAlign w:val="center"/>
          </w:tcPr>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新建公共建筑、城市广场和城市绿地</w:t>
            </w:r>
          </w:p>
        </w:tc>
        <w:tc>
          <w:tcPr>
            <w:tcW w:w="5899" w:type="dxa"/>
            <w:vAlign w:val="center"/>
          </w:tcPr>
          <w:p w:rsidR="00720595" w:rsidRDefault="00720595" w:rsidP="00B23F22">
            <w:pPr>
              <w:spacing w:line="320" w:lineRule="exact"/>
              <w:rPr>
                <w:rFonts w:cs="Times New Roman"/>
                <w:color w:val="000000"/>
                <w:sz w:val="28"/>
                <w:szCs w:val="28"/>
              </w:rPr>
            </w:pPr>
            <w:r>
              <w:rPr>
                <w:rFonts w:ascii="仿宋" w:eastAsia="仿宋" w:hAnsi="仿宋" w:cs="仿宋" w:hint="eastAsia"/>
                <w:color w:val="000000"/>
                <w:sz w:val="24"/>
                <w:szCs w:val="24"/>
              </w:rPr>
              <w:t>办公科研司法建筑、教育建筑、医疗康复建筑、体育建筑、文化建筑、商业服务建筑、汽车加油加气站、高速公路服务区、室外公共厕所、城市广场、城市绿地等无障碍设施建设率应达到</w:t>
            </w:r>
            <w:r>
              <w:rPr>
                <w:rFonts w:ascii="仿宋" w:eastAsia="仿宋" w:hAnsi="仿宋" w:cs="仿宋"/>
                <w:color w:val="000000"/>
                <w:sz w:val="24"/>
                <w:szCs w:val="24"/>
              </w:rPr>
              <w:t>100%</w:t>
            </w:r>
            <w:r>
              <w:rPr>
                <w:rFonts w:ascii="仿宋" w:eastAsia="仿宋" w:hAnsi="仿宋" w:cs="仿宋" w:hint="eastAsia"/>
                <w:color w:val="000000"/>
                <w:sz w:val="24"/>
                <w:szCs w:val="24"/>
              </w:rPr>
              <w:t>，并符合《无障碍设计规范》</w:t>
            </w:r>
            <w:r>
              <w:rPr>
                <w:rFonts w:ascii="仿宋" w:eastAsia="仿宋" w:hAnsi="仿宋" w:cs="仿宋"/>
                <w:color w:val="000000"/>
                <w:sz w:val="24"/>
                <w:szCs w:val="24"/>
              </w:rPr>
              <w:t>(GB50763)</w:t>
            </w:r>
            <w:r>
              <w:rPr>
                <w:rFonts w:ascii="仿宋" w:eastAsia="仿宋" w:hAnsi="仿宋" w:cs="仿宋" w:hint="eastAsia"/>
                <w:color w:val="000000"/>
                <w:sz w:val="24"/>
                <w:szCs w:val="24"/>
              </w:rPr>
              <w:t>的要求。</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900" w:type="dxa"/>
            <w:vAlign w:val="center"/>
          </w:tcPr>
          <w:p w:rsidR="00720595" w:rsidRDefault="00720595" w:rsidP="00B23F22">
            <w:pPr>
              <w:spacing w:line="360" w:lineRule="exact"/>
              <w:rPr>
                <w:rFonts w:cs="Times New Roman"/>
                <w:color w:val="000000"/>
              </w:rPr>
            </w:pPr>
          </w:p>
        </w:tc>
      </w:tr>
      <w:tr w:rsidR="00720595" w:rsidTr="00B23F22">
        <w:trPr>
          <w:jc w:val="center"/>
        </w:trPr>
        <w:tc>
          <w:tcPr>
            <w:tcW w:w="583" w:type="dxa"/>
            <w:vMerge w:val="restart"/>
            <w:vAlign w:val="center"/>
          </w:tcPr>
          <w:p w:rsidR="00720595" w:rsidRDefault="00720595" w:rsidP="00B23F22">
            <w:pPr>
              <w:spacing w:line="320" w:lineRule="exact"/>
              <w:jc w:val="center"/>
              <w:rPr>
                <w:color w:val="000000"/>
                <w:sz w:val="28"/>
                <w:szCs w:val="28"/>
              </w:rPr>
            </w:pPr>
            <w:r>
              <w:rPr>
                <w:color w:val="000000"/>
                <w:sz w:val="28"/>
                <w:szCs w:val="28"/>
              </w:rPr>
              <w:t>2</w:t>
            </w:r>
          </w:p>
        </w:tc>
        <w:tc>
          <w:tcPr>
            <w:tcW w:w="1776" w:type="dxa"/>
            <w:vMerge w:val="restart"/>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已建成的公共建筑、城市广场和城市绿地</w:t>
            </w:r>
          </w:p>
        </w:tc>
        <w:tc>
          <w:tcPr>
            <w:tcW w:w="5899" w:type="dxa"/>
            <w:vAlign w:val="center"/>
          </w:tcPr>
          <w:p w:rsidR="00720595" w:rsidRDefault="00720595" w:rsidP="00B23F22">
            <w:pPr>
              <w:spacing w:line="300" w:lineRule="exact"/>
              <w:rPr>
                <w:rFonts w:ascii="仿宋" w:eastAsia="仿宋" w:hAnsi="仿宋" w:cs="Times New Roman"/>
                <w:color w:val="000000"/>
                <w:sz w:val="24"/>
                <w:szCs w:val="24"/>
              </w:rPr>
            </w:pPr>
            <w:r>
              <w:rPr>
                <w:rFonts w:ascii="仿宋" w:eastAsia="仿宋" w:hAnsi="仿宋" w:cs="仿宋" w:hint="eastAsia"/>
                <w:color w:val="000000"/>
                <w:sz w:val="24"/>
                <w:szCs w:val="24"/>
              </w:rPr>
              <w:t>政府办公建筑、综合（专科）医院、大中型商场、汽车加油加气站、高速公路服务区、城市广场、城市绿地无障碍改造率应不低于</w:t>
            </w:r>
            <w:r>
              <w:rPr>
                <w:rFonts w:ascii="仿宋" w:eastAsia="仿宋" w:hAnsi="仿宋" w:cs="仿宋"/>
                <w:color w:val="000000"/>
                <w:sz w:val="24"/>
                <w:szCs w:val="24"/>
              </w:rPr>
              <w:t>75%</w:t>
            </w:r>
            <w:r>
              <w:rPr>
                <w:rFonts w:ascii="仿宋" w:eastAsia="仿宋" w:hAnsi="仿宋" w:cs="仿宋" w:hint="eastAsia"/>
                <w:color w:val="000000"/>
                <w:sz w:val="24"/>
                <w:szCs w:val="24"/>
              </w:rPr>
              <w:t>，且布局合理。政府办公建筑的对外服务窗口无障碍改造率应达到</w:t>
            </w:r>
            <w:r>
              <w:rPr>
                <w:rFonts w:ascii="仿宋" w:eastAsia="仿宋" w:hAnsi="仿宋" w:cs="仿宋"/>
                <w:color w:val="000000"/>
                <w:sz w:val="24"/>
                <w:szCs w:val="24"/>
              </w:rPr>
              <w:t>100%</w:t>
            </w:r>
            <w:r>
              <w:rPr>
                <w:rFonts w:ascii="仿宋" w:eastAsia="仿宋" w:hAnsi="仿宋" w:cs="仿宋" w:hint="eastAsia"/>
                <w:color w:val="000000"/>
                <w:sz w:val="24"/>
                <w:szCs w:val="24"/>
              </w:rPr>
              <w:t>。</w:t>
            </w:r>
          </w:p>
          <w:p w:rsidR="00720595" w:rsidRDefault="00720595" w:rsidP="00B23F22">
            <w:pPr>
              <w:spacing w:line="300" w:lineRule="exact"/>
              <w:rPr>
                <w:rFonts w:ascii="仿宋" w:eastAsia="仿宋" w:hAnsi="仿宋" w:cs="Times New Roman"/>
                <w:color w:val="000000"/>
                <w:sz w:val="24"/>
                <w:szCs w:val="24"/>
              </w:rPr>
            </w:pPr>
            <w:r>
              <w:rPr>
                <w:rFonts w:ascii="仿宋" w:eastAsia="仿宋" w:hAnsi="仿宋" w:cs="仿宋" w:hint="eastAsia"/>
                <w:color w:val="000000"/>
                <w:sz w:val="24"/>
                <w:szCs w:val="24"/>
              </w:rPr>
              <w:t>改造主要内容为：建筑物出入口坡化处理，设置无障碍通道、无障碍电梯、无障碍厕所及无障碍厕位，停车场设置无障碍停车位，在显著醒目位置设无障碍标志，大型场所设置无障碍行进路线图，政府办公建筑的对外服务窗口、医院、公园等公共服务建筑同时要设低位服务设施。</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市城市管理监督局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w:t>
            </w:r>
            <w:r>
              <w:rPr>
                <w:rFonts w:ascii="仿宋" w:eastAsia="仿宋" w:hAnsi="仿宋" w:cs="仿宋" w:hint="eastAsia"/>
                <w:sz w:val="24"/>
                <w:szCs w:val="24"/>
              </w:rPr>
              <w:t>园林服务中心</w:t>
            </w:r>
          </w:p>
        </w:tc>
        <w:tc>
          <w:tcPr>
            <w:tcW w:w="900" w:type="dxa"/>
            <w:vAlign w:val="center"/>
          </w:tcPr>
          <w:p w:rsidR="00720595" w:rsidRDefault="00720595" w:rsidP="00B23F22">
            <w:pPr>
              <w:spacing w:line="360" w:lineRule="exact"/>
              <w:rPr>
                <w:rFonts w:cs="Times New Roman"/>
                <w:color w:val="000000"/>
              </w:rPr>
            </w:pPr>
          </w:p>
        </w:tc>
      </w:tr>
      <w:tr w:rsidR="00720595" w:rsidTr="00B23F22">
        <w:trPr>
          <w:jc w:val="center"/>
        </w:trPr>
        <w:tc>
          <w:tcPr>
            <w:tcW w:w="583" w:type="dxa"/>
            <w:vMerge/>
            <w:vAlign w:val="center"/>
          </w:tcPr>
          <w:p w:rsidR="00720595" w:rsidRDefault="00720595" w:rsidP="00B23F22">
            <w:pPr>
              <w:widowControl/>
              <w:spacing w:line="320" w:lineRule="exact"/>
              <w:jc w:val="left"/>
              <w:rPr>
                <w:rFonts w:cs="Times New Roman"/>
                <w:color w:val="000000"/>
                <w:sz w:val="28"/>
                <w:szCs w:val="28"/>
              </w:rPr>
            </w:pPr>
          </w:p>
        </w:tc>
        <w:tc>
          <w:tcPr>
            <w:tcW w:w="1776" w:type="dxa"/>
            <w:vMerge/>
            <w:vAlign w:val="center"/>
          </w:tcPr>
          <w:p w:rsidR="00720595" w:rsidRDefault="00720595" w:rsidP="00B23F22">
            <w:pPr>
              <w:widowControl/>
              <w:spacing w:line="320" w:lineRule="exact"/>
              <w:jc w:val="left"/>
              <w:rPr>
                <w:rFonts w:ascii="仿宋" w:eastAsia="仿宋" w:hAnsi="仿宋" w:cs="Times New Roman"/>
                <w:color w:val="000000"/>
                <w:sz w:val="24"/>
                <w:szCs w:val="24"/>
              </w:rPr>
            </w:pPr>
          </w:p>
        </w:tc>
        <w:tc>
          <w:tcPr>
            <w:tcW w:w="5899" w:type="dxa"/>
            <w:vAlign w:val="center"/>
          </w:tcPr>
          <w:p w:rsidR="00720595" w:rsidRDefault="00720595" w:rsidP="00B23F22">
            <w:pPr>
              <w:spacing w:line="300" w:lineRule="exact"/>
              <w:rPr>
                <w:rFonts w:ascii="仿宋" w:eastAsia="仿宋" w:hAnsi="仿宋" w:cs="Times New Roman"/>
                <w:color w:val="000000"/>
                <w:sz w:val="24"/>
                <w:szCs w:val="24"/>
              </w:rPr>
            </w:pPr>
            <w:r>
              <w:rPr>
                <w:rFonts w:ascii="仿宋" w:eastAsia="仿宋" w:hAnsi="仿宋" w:cs="仿宋" w:hint="eastAsia"/>
                <w:color w:val="000000"/>
                <w:sz w:val="24"/>
                <w:szCs w:val="24"/>
              </w:rPr>
              <w:t>饭店、宾馆、邮政、电信、银行、室外公共厕所无障碍改造率应不低于</w:t>
            </w:r>
            <w:r>
              <w:rPr>
                <w:rFonts w:ascii="仿宋" w:eastAsia="仿宋" w:hAnsi="仿宋" w:cs="仿宋"/>
                <w:color w:val="000000"/>
                <w:sz w:val="24"/>
                <w:szCs w:val="24"/>
              </w:rPr>
              <w:t>60%</w:t>
            </w:r>
            <w:r>
              <w:rPr>
                <w:rFonts w:ascii="仿宋" w:eastAsia="仿宋" w:hAnsi="仿宋" w:cs="仿宋" w:hint="eastAsia"/>
                <w:color w:val="000000"/>
                <w:sz w:val="24"/>
                <w:szCs w:val="24"/>
              </w:rPr>
              <w:t>，且布局合理。</w:t>
            </w:r>
          </w:p>
          <w:p w:rsidR="00720595" w:rsidRDefault="00720595" w:rsidP="00B23F22">
            <w:pPr>
              <w:spacing w:line="300" w:lineRule="exact"/>
              <w:rPr>
                <w:rFonts w:ascii="仿宋" w:eastAsia="仿宋" w:hAnsi="仿宋" w:cs="Times New Roman"/>
                <w:color w:val="000000"/>
                <w:sz w:val="24"/>
                <w:szCs w:val="24"/>
              </w:rPr>
            </w:pPr>
            <w:r>
              <w:rPr>
                <w:rFonts w:ascii="仿宋" w:eastAsia="仿宋" w:hAnsi="仿宋" w:cs="仿宋" w:hint="eastAsia"/>
                <w:color w:val="000000"/>
                <w:sz w:val="24"/>
                <w:szCs w:val="24"/>
              </w:rPr>
              <w:t>改造主要内容为：建筑物出入口坡化处理，设置无障碍通道、无障碍电梯、无障碍厕所及无障碍厕位，停车场设置无障碍停车位，在显著醒目位置设无障碍标志，大型场所设置无障碍行进路线图，邮政、电信、银行等公共服务建筑同时要设低位服务设施，宾馆、饭店同时要有一定数量的无障碍客房。</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市城市管理监督局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市工业和信息化局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市金融办</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市商务局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市工业和信息化局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玉州区人民政府</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玉东新区管委</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trHeight w:val="2412"/>
          <w:jc w:val="center"/>
        </w:trPr>
        <w:tc>
          <w:tcPr>
            <w:tcW w:w="583" w:type="dxa"/>
            <w:vMerge/>
            <w:vAlign w:val="center"/>
          </w:tcPr>
          <w:p w:rsidR="00720595" w:rsidRDefault="00720595" w:rsidP="00B23F22">
            <w:pPr>
              <w:widowControl/>
              <w:spacing w:line="320" w:lineRule="exact"/>
              <w:jc w:val="left"/>
              <w:rPr>
                <w:rFonts w:cs="Times New Roman"/>
                <w:color w:val="000000"/>
                <w:sz w:val="28"/>
                <w:szCs w:val="28"/>
              </w:rPr>
            </w:pPr>
          </w:p>
        </w:tc>
        <w:tc>
          <w:tcPr>
            <w:tcW w:w="1776" w:type="dxa"/>
            <w:vMerge/>
            <w:vAlign w:val="center"/>
          </w:tcPr>
          <w:p w:rsidR="00720595" w:rsidRDefault="00720595" w:rsidP="00B23F22">
            <w:pPr>
              <w:widowControl/>
              <w:spacing w:line="320" w:lineRule="exact"/>
              <w:jc w:val="left"/>
              <w:rPr>
                <w:rFonts w:ascii="仿宋" w:eastAsia="仿宋" w:hAnsi="仿宋" w:cs="Times New Roman"/>
                <w:color w:val="000000"/>
                <w:sz w:val="24"/>
                <w:szCs w:val="24"/>
              </w:rPr>
            </w:pPr>
          </w:p>
        </w:tc>
        <w:tc>
          <w:tcPr>
            <w:tcW w:w="5899" w:type="dxa"/>
            <w:vAlign w:val="center"/>
          </w:tcPr>
          <w:p w:rsidR="00720595" w:rsidRDefault="00720595" w:rsidP="00B23F22">
            <w:pPr>
              <w:spacing w:line="300" w:lineRule="exact"/>
              <w:rPr>
                <w:rFonts w:ascii="仿宋" w:eastAsia="仿宋" w:hAnsi="仿宋" w:cs="Times New Roman"/>
                <w:color w:val="000000"/>
                <w:sz w:val="24"/>
                <w:szCs w:val="24"/>
              </w:rPr>
            </w:pPr>
            <w:r>
              <w:rPr>
                <w:rFonts w:ascii="仿宋" w:eastAsia="仿宋" w:hAnsi="仿宋" w:cs="仿宋" w:hint="eastAsia"/>
                <w:color w:val="000000"/>
                <w:sz w:val="24"/>
                <w:szCs w:val="24"/>
              </w:rPr>
              <w:t>文化馆、图书馆、科技馆、展览馆、博物馆、纪念馆、影剧院、音乐厅、体育场馆无障碍改造率应不低于</w:t>
            </w:r>
            <w:r>
              <w:rPr>
                <w:rFonts w:ascii="仿宋" w:eastAsia="仿宋" w:hAnsi="仿宋" w:cs="仿宋"/>
                <w:color w:val="000000"/>
                <w:sz w:val="24"/>
                <w:szCs w:val="24"/>
              </w:rPr>
              <w:t>60%</w:t>
            </w:r>
            <w:r>
              <w:rPr>
                <w:rFonts w:ascii="仿宋" w:eastAsia="仿宋" w:hAnsi="仿宋" w:cs="仿宋" w:hint="eastAsia"/>
                <w:color w:val="000000"/>
                <w:sz w:val="24"/>
                <w:szCs w:val="24"/>
              </w:rPr>
              <w:t>，且布局合理。</w:t>
            </w:r>
          </w:p>
          <w:p w:rsidR="00720595" w:rsidRDefault="00720595" w:rsidP="00B23F22">
            <w:pPr>
              <w:spacing w:line="300" w:lineRule="exact"/>
              <w:rPr>
                <w:rFonts w:ascii="仿宋" w:eastAsia="仿宋" w:hAnsi="仿宋" w:cs="Times New Roman"/>
                <w:color w:val="000000"/>
                <w:sz w:val="24"/>
                <w:szCs w:val="24"/>
              </w:rPr>
            </w:pPr>
            <w:r>
              <w:rPr>
                <w:rFonts w:ascii="仿宋" w:eastAsia="仿宋" w:hAnsi="仿宋" w:cs="仿宋" w:hint="eastAsia"/>
                <w:color w:val="000000"/>
                <w:sz w:val="24"/>
                <w:szCs w:val="24"/>
              </w:rPr>
              <w:t>改造主要内容为：建筑物出入口坡化处理，设置无障碍通道、无障碍电梯、无障碍厕所及无障碍厕位，停车场设置无障碍停车位，在显著醒目位置设无障碍标志，大型场所设置无障碍行进路线图，文化建筑、体育建筑同时要设低位服务设施和轮椅席位。</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市文化广电体育和旅游局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市城市管理监督局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玉州区人民政府</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玉东新区管委</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trHeight w:val="1536"/>
          <w:jc w:val="center"/>
        </w:trPr>
        <w:tc>
          <w:tcPr>
            <w:tcW w:w="583" w:type="dxa"/>
            <w:vMerge/>
            <w:vAlign w:val="center"/>
          </w:tcPr>
          <w:p w:rsidR="00720595" w:rsidRDefault="00720595" w:rsidP="00B23F22">
            <w:pPr>
              <w:widowControl/>
              <w:spacing w:line="320" w:lineRule="exact"/>
              <w:jc w:val="left"/>
              <w:rPr>
                <w:rFonts w:cs="Times New Roman"/>
                <w:color w:val="000000"/>
                <w:sz w:val="28"/>
                <w:szCs w:val="28"/>
              </w:rPr>
            </w:pPr>
          </w:p>
        </w:tc>
        <w:tc>
          <w:tcPr>
            <w:tcW w:w="1776" w:type="dxa"/>
            <w:vMerge/>
            <w:vAlign w:val="center"/>
          </w:tcPr>
          <w:p w:rsidR="00720595" w:rsidRDefault="00720595" w:rsidP="00B23F22">
            <w:pPr>
              <w:widowControl/>
              <w:spacing w:line="320" w:lineRule="exact"/>
              <w:jc w:val="left"/>
              <w:rPr>
                <w:rFonts w:ascii="仿宋" w:eastAsia="仿宋" w:hAnsi="仿宋" w:cs="Times New Roman"/>
                <w:color w:val="000000"/>
                <w:sz w:val="24"/>
                <w:szCs w:val="24"/>
              </w:rPr>
            </w:pPr>
          </w:p>
        </w:tc>
        <w:tc>
          <w:tcPr>
            <w:tcW w:w="5899" w:type="dxa"/>
            <w:vAlign w:val="center"/>
          </w:tcPr>
          <w:p w:rsidR="00720595" w:rsidRDefault="00720595" w:rsidP="00B23F22">
            <w:pPr>
              <w:spacing w:line="300" w:lineRule="exact"/>
              <w:rPr>
                <w:rFonts w:ascii="仿宋" w:eastAsia="仿宋" w:hAnsi="仿宋" w:cs="Times New Roman"/>
                <w:color w:val="000000"/>
                <w:sz w:val="24"/>
                <w:szCs w:val="24"/>
              </w:rPr>
            </w:pPr>
            <w:r>
              <w:rPr>
                <w:rFonts w:ascii="仿宋" w:eastAsia="仿宋" w:hAnsi="仿宋" w:cs="仿宋" w:hint="eastAsia"/>
                <w:color w:val="000000"/>
                <w:sz w:val="24"/>
                <w:szCs w:val="24"/>
              </w:rPr>
              <w:t>学校、托幼建筑无障碍改造率应不低于</w:t>
            </w:r>
            <w:r>
              <w:rPr>
                <w:rFonts w:ascii="仿宋" w:eastAsia="仿宋" w:hAnsi="仿宋" w:cs="仿宋"/>
                <w:color w:val="000000"/>
                <w:sz w:val="24"/>
                <w:szCs w:val="24"/>
              </w:rPr>
              <w:t>40%</w:t>
            </w:r>
            <w:r>
              <w:rPr>
                <w:rFonts w:ascii="仿宋" w:eastAsia="仿宋" w:hAnsi="仿宋" w:cs="仿宋" w:hint="eastAsia"/>
                <w:color w:val="000000"/>
                <w:sz w:val="24"/>
                <w:szCs w:val="24"/>
              </w:rPr>
              <w:t>，且布局合理。改造主要内容为：建筑物出入口坡化处理，设置无障碍通道、无障碍电梯、无障碍厕所及无障碍厕位，停车场设置无障碍停车位，在显著醒目位置设无障碍标志，有条件的加装无障碍电梯。</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市教育局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玉州区人民政府</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玉东新区管委</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trHeight w:val="540"/>
          <w:jc w:val="center"/>
        </w:trPr>
        <w:tc>
          <w:tcPr>
            <w:tcW w:w="13779" w:type="dxa"/>
            <w:gridSpan w:val="6"/>
            <w:vAlign w:val="center"/>
          </w:tcPr>
          <w:p w:rsidR="00720595" w:rsidRDefault="00720595" w:rsidP="00B23F22">
            <w:pPr>
              <w:spacing w:line="360" w:lineRule="exact"/>
              <w:jc w:val="center"/>
              <w:rPr>
                <w:rFonts w:cs="Times New Roman"/>
                <w:color w:val="000000"/>
                <w:sz w:val="28"/>
                <w:szCs w:val="28"/>
              </w:rPr>
            </w:pPr>
            <w:r w:rsidRPr="007312BA">
              <w:rPr>
                <w:rFonts w:ascii="黑体" w:eastAsia="黑体" w:hAnsi="黑体" w:cs="黑体" w:hint="eastAsia"/>
                <w:color w:val="000000"/>
                <w:sz w:val="24"/>
                <w:szCs w:val="24"/>
              </w:rPr>
              <w:t>类别四：公共交通设施无障碍环境建设与改造</w:t>
            </w:r>
          </w:p>
        </w:tc>
      </w:tr>
      <w:tr w:rsidR="00720595" w:rsidTr="00B23F22">
        <w:trPr>
          <w:trHeight w:val="1012"/>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 xml:space="preserve"> 1</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新建公共交通设施</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铁路旅客车站、汽车站、客运码头无障碍设施建设率应达到</w:t>
            </w:r>
            <w:r>
              <w:rPr>
                <w:rFonts w:ascii="仿宋" w:eastAsia="仿宋" w:hAnsi="仿宋" w:cs="仿宋"/>
                <w:color w:val="000000"/>
                <w:sz w:val="24"/>
                <w:szCs w:val="24"/>
              </w:rPr>
              <w:t>100%</w:t>
            </w:r>
            <w:r>
              <w:rPr>
                <w:rFonts w:ascii="仿宋" w:eastAsia="仿宋" w:hAnsi="仿宋" w:cs="仿宋" w:hint="eastAsia"/>
                <w:color w:val="000000"/>
                <w:sz w:val="24"/>
                <w:szCs w:val="24"/>
              </w:rPr>
              <w:t>，并符合《无障碍设计规范》</w:t>
            </w:r>
            <w:r>
              <w:rPr>
                <w:rFonts w:ascii="仿宋" w:eastAsia="仿宋" w:hAnsi="仿宋" w:cs="仿宋"/>
                <w:color w:val="000000"/>
                <w:sz w:val="24"/>
                <w:szCs w:val="24"/>
              </w:rPr>
              <w:t>(GB50763)</w:t>
            </w:r>
            <w:r>
              <w:rPr>
                <w:rFonts w:ascii="仿宋" w:eastAsia="仿宋" w:hAnsi="仿宋" w:cs="仿宋" w:hint="eastAsia"/>
                <w:color w:val="000000"/>
                <w:sz w:val="24"/>
                <w:szCs w:val="24"/>
              </w:rPr>
              <w:t>、《铁路旅客车站设计规范》（</w:t>
            </w:r>
            <w:r>
              <w:rPr>
                <w:rFonts w:ascii="仿宋" w:eastAsia="仿宋" w:hAnsi="仿宋" w:cs="仿宋"/>
                <w:color w:val="000000"/>
                <w:sz w:val="24"/>
                <w:szCs w:val="24"/>
              </w:rPr>
              <w:t>TB10100</w:t>
            </w:r>
            <w:r>
              <w:rPr>
                <w:rFonts w:ascii="仿宋" w:eastAsia="仿宋" w:hAnsi="仿宋" w:cs="仿宋" w:hint="eastAsia"/>
                <w:color w:val="000000"/>
                <w:sz w:val="24"/>
                <w:szCs w:val="24"/>
              </w:rPr>
              <w:t>）等技术要求。</w:t>
            </w:r>
          </w:p>
        </w:tc>
        <w:tc>
          <w:tcPr>
            <w:tcW w:w="2281" w:type="dxa"/>
            <w:vAlign w:val="center"/>
          </w:tcPr>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sz w:val="24"/>
                <w:szCs w:val="24"/>
              </w:rPr>
              <w:t>市住房城乡建设局</w:t>
            </w:r>
          </w:p>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color w:val="000000"/>
                <w:sz w:val="24"/>
                <w:szCs w:val="24"/>
              </w:rPr>
              <w:t>市</w:t>
            </w:r>
            <w:r>
              <w:rPr>
                <w:rFonts w:ascii="仿宋" w:eastAsia="仿宋" w:hAnsi="仿宋" w:cs="仿宋" w:hint="eastAsia"/>
                <w:sz w:val="24"/>
                <w:szCs w:val="24"/>
              </w:rPr>
              <w:t>交通运输局</w:t>
            </w:r>
          </w:p>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sz w:val="24"/>
                <w:szCs w:val="24"/>
              </w:rPr>
              <w:t>玉林车务段</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市自然资源局</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jc w:val="center"/>
        </w:trPr>
        <w:tc>
          <w:tcPr>
            <w:tcW w:w="583" w:type="dxa"/>
            <w:vAlign w:val="center"/>
          </w:tcPr>
          <w:p w:rsidR="00720595" w:rsidRDefault="00720595" w:rsidP="00B23F22">
            <w:pPr>
              <w:spacing w:line="320" w:lineRule="exact"/>
              <w:rPr>
                <w:color w:val="000000"/>
                <w:sz w:val="28"/>
                <w:szCs w:val="28"/>
              </w:rPr>
            </w:pPr>
            <w:r>
              <w:rPr>
                <w:color w:val="000000"/>
                <w:sz w:val="28"/>
                <w:szCs w:val="28"/>
              </w:rPr>
              <w:t xml:space="preserve"> 2</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已建公共交通设施</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铁路旅客车站、汽车站、客运码头应进行无障碍改造。主要改造内容为：出入口坡化处理，设置无障碍通道、无障碍电梯、无障碍厕所及无障碍厕位，同时要设低位服务设施，铁路旅客站台、公交车站等候区设行进盲道和提示盲道，主要公交车站设置盲道和盲文站牌，大型场所设置无障碍行进路线图、无障碍标志，铁路旅客车站、长途汽车站站台高度与车厢地板基本平齐，客运码头有方便高龄失能老年人、残疾人登船的装置。</w:t>
            </w:r>
          </w:p>
        </w:tc>
        <w:tc>
          <w:tcPr>
            <w:tcW w:w="2281" w:type="dxa"/>
            <w:vAlign w:val="center"/>
          </w:tcPr>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sz w:val="24"/>
                <w:szCs w:val="24"/>
              </w:rPr>
              <w:t>市交通运输局</w:t>
            </w:r>
          </w:p>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sz w:val="24"/>
                <w:szCs w:val="24"/>
              </w:rPr>
              <w:t>玉林车务段</w:t>
            </w:r>
          </w:p>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sz w:val="24"/>
                <w:szCs w:val="24"/>
              </w:rPr>
              <w:t>市城市管理监督局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市残联</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trHeight w:val="1165"/>
          <w:jc w:val="center"/>
        </w:trPr>
        <w:tc>
          <w:tcPr>
            <w:tcW w:w="583" w:type="dxa"/>
            <w:vAlign w:val="center"/>
          </w:tcPr>
          <w:p w:rsidR="00720595" w:rsidRDefault="00720595" w:rsidP="00B23F22">
            <w:pPr>
              <w:spacing w:line="320" w:lineRule="exact"/>
              <w:rPr>
                <w:color w:val="000000"/>
                <w:sz w:val="28"/>
                <w:szCs w:val="28"/>
              </w:rPr>
            </w:pPr>
            <w:r>
              <w:rPr>
                <w:color w:val="000000"/>
                <w:sz w:val="28"/>
                <w:szCs w:val="28"/>
              </w:rPr>
              <w:t xml:space="preserve"> 3</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公共交通工具</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铁路客车、公共汽车、电车、客轮等公共交通工具应适应残疾人的需要。主要改造内容为：乘客入口水平通道及轮椅席位。</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市交通运输局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trHeight w:val="607"/>
          <w:jc w:val="center"/>
        </w:trPr>
        <w:tc>
          <w:tcPr>
            <w:tcW w:w="13779" w:type="dxa"/>
            <w:gridSpan w:val="6"/>
            <w:vAlign w:val="center"/>
          </w:tcPr>
          <w:p w:rsidR="00720595" w:rsidRDefault="00720595" w:rsidP="00B23F22">
            <w:pPr>
              <w:spacing w:line="360" w:lineRule="exact"/>
              <w:jc w:val="center"/>
              <w:rPr>
                <w:rFonts w:cs="Times New Roman"/>
                <w:b/>
                <w:bCs/>
                <w:color w:val="000000"/>
                <w:sz w:val="24"/>
                <w:szCs w:val="24"/>
              </w:rPr>
            </w:pPr>
            <w:r w:rsidRPr="007312BA">
              <w:rPr>
                <w:rFonts w:ascii="黑体" w:eastAsia="黑体" w:hAnsi="黑体" w:cs="黑体" w:hint="eastAsia"/>
                <w:color w:val="000000"/>
                <w:sz w:val="24"/>
                <w:szCs w:val="24"/>
              </w:rPr>
              <w:t>类别五：福利及特殊服务建筑无障碍环境建设与改造</w:t>
            </w:r>
          </w:p>
        </w:tc>
      </w:tr>
      <w:tr w:rsidR="00720595" w:rsidTr="00B23F22">
        <w:trPr>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1</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新建福利及特殊服务建筑</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特教学校、残疾人集中就业单位、康复中心、残疾人综合服务设施、残疾人福利机构、儿童福利机构、养老机构、老年人服务设施无障碍设施建设率应达到</w:t>
            </w:r>
            <w:r>
              <w:rPr>
                <w:rFonts w:ascii="仿宋" w:eastAsia="仿宋" w:hAnsi="仿宋" w:cs="仿宋"/>
                <w:color w:val="000000"/>
                <w:sz w:val="24"/>
                <w:szCs w:val="24"/>
              </w:rPr>
              <w:t>100%</w:t>
            </w:r>
            <w:r>
              <w:rPr>
                <w:rFonts w:ascii="仿宋" w:eastAsia="仿宋" w:hAnsi="仿宋" w:cs="仿宋" w:hint="eastAsia"/>
                <w:color w:val="000000"/>
                <w:sz w:val="24"/>
                <w:szCs w:val="24"/>
              </w:rPr>
              <w:t>，并符合《无障碍设计规范》</w:t>
            </w:r>
            <w:r>
              <w:rPr>
                <w:rFonts w:ascii="仿宋" w:eastAsia="仿宋" w:hAnsi="仿宋" w:cs="仿宋"/>
                <w:color w:val="000000"/>
                <w:sz w:val="24"/>
                <w:szCs w:val="24"/>
              </w:rPr>
              <w:t>(GB50763)</w:t>
            </w:r>
            <w:r>
              <w:rPr>
                <w:rFonts w:ascii="仿宋" w:eastAsia="仿宋" w:hAnsi="仿宋" w:cs="仿宋" w:hint="eastAsia"/>
                <w:color w:val="000000"/>
                <w:sz w:val="24"/>
                <w:szCs w:val="24"/>
              </w:rPr>
              <w:t>、《特殊教育学校建筑设计规范》（</w:t>
            </w:r>
            <w:r>
              <w:rPr>
                <w:rFonts w:ascii="仿宋" w:eastAsia="仿宋" w:hAnsi="仿宋" w:cs="仿宋"/>
                <w:color w:val="000000"/>
                <w:sz w:val="24"/>
                <w:szCs w:val="24"/>
              </w:rPr>
              <w:t>JGJ76</w:t>
            </w:r>
            <w:r>
              <w:rPr>
                <w:rFonts w:ascii="仿宋" w:eastAsia="仿宋" w:hAnsi="仿宋" w:cs="仿宋" w:hint="eastAsia"/>
                <w:color w:val="000000"/>
                <w:sz w:val="24"/>
                <w:szCs w:val="24"/>
              </w:rPr>
              <w:t>）、《老年人照料设施建筑设计标准》（</w:t>
            </w:r>
            <w:r>
              <w:rPr>
                <w:rFonts w:ascii="仿宋" w:eastAsia="仿宋" w:hAnsi="仿宋" w:cs="仿宋"/>
                <w:color w:val="000000"/>
                <w:sz w:val="24"/>
                <w:szCs w:val="24"/>
              </w:rPr>
              <w:t>JGJ450</w:t>
            </w:r>
            <w:r>
              <w:rPr>
                <w:rFonts w:ascii="仿宋" w:eastAsia="仿宋" w:hAnsi="仿宋" w:cs="仿宋" w:hint="eastAsia"/>
                <w:color w:val="000000"/>
                <w:sz w:val="24"/>
                <w:szCs w:val="24"/>
              </w:rPr>
              <w:t>）等技术要求。</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市残联</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市民政局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市教育局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市自然资源局</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2</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已建福利及特殊服务建筑</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特教学校、残疾人集中就业单位、康复中心、残疾人综合服务设施、残疾人福利机构、儿童福利机构、养老机构、老年人服务设施无障碍改造率应达到</w:t>
            </w:r>
            <w:r>
              <w:rPr>
                <w:rFonts w:ascii="仿宋" w:eastAsia="仿宋" w:hAnsi="仿宋" w:cs="仿宋"/>
                <w:color w:val="000000"/>
                <w:sz w:val="24"/>
                <w:szCs w:val="24"/>
              </w:rPr>
              <w:t>100%</w:t>
            </w:r>
            <w:r>
              <w:rPr>
                <w:rFonts w:ascii="仿宋" w:eastAsia="仿宋" w:hAnsi="仿宋" w:cs="仿宋" w:hint="eastAsia"/>
                <w:color w:val="000000"/>
                <w:sz w:val="24"/>
                <w:szCs w:val="24"/>
              </w:rPr>
              <w:t>。</w:t>
            </w:r>
          </w:p>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主要改造内容为：出入口坡化处理，设置无障碍通道、无障碍电梯、无障碍厕所及无障碍厕位、低位服务设施，室内外主要位置地面铺设行进盲道和提示盲道。</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市残联</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市民政局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市教育局</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trHeight w:val="540"/>
          <w:jc w:val="center"/>
        </w:trPr>
        <w:tc>
          <w:tcPr>
            <w:tcW w:w="13779" w:type="dxa"/>
            <w:gridSpan w:val="6"/>
            <w:vAlign w:val="center"/>
          </w:tcPr>
          <w:p w:rsidR="00720595" w:rsidRPr="0094565A" w:rsidRDefault="00720595" w:rsidP="00B23F22">
            <w:pPr>
              <w:spacing w:line="360" w:lineRule="exact"/>
              <w:jc w:val="center"/>
              <w:rPr>
                <w:rFonts w:ascii="黑体" w:eastAsia="黑体" w:hAnsi="黑体" w:cs="Times New Roman"/>
                <w:color w:val="000000"/>
                <w:sz w:val="24"/>
                <w:szCs w:val="24"/>
              </w:rPr>
            </w:pPr>
            <w:r w:rsidRPr="0094565A">
              <w:rPr>
                <w:rFonts w:ascii="黑体" w:eastAsia="黑体" w:hAnsi="黑体" w:cs="黑体" w:hint="eastAsia"/>
                <w:color w:val="000000"/>
                <w:sz w:val="24"/>
                <w:szCs w:val="24"/>
              </w:rPr>
              <w:t>类别六：公共停车场（库）无障碍环境建设与改造</w:t>
            </w:r>
          </w:p>
        </w:tc>
      </w:tr>
      <w:tr w:rsidR="00720595" w:rsidTr="00B23F22">
        <w:trPr>
          <w:trHeight w:val="1190"/>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1</w:t>
            </w:r>
          </w:p>
        </w:tc>
        <w:tc>
          <w:tcPr>
            <w:tcW w:w="1776" w:type="dxa"/>
            <w:vAlign w:val="center"/>
          </w:tcPr>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新建公共停车场（库）</w:t>
            </w:r>
          </w:p>
        </w:tc>
        <w:tc>
          <w:tcPr>
            <w:tcW w:w="5899" w:type="dxa"/>
            <w:vAlign w:val="center"/>
          </w:tcPr>
          <w:p w:rsidR="00720595" w:rsidRPr="0094565A" w:rsidRDefault="00720595" w:rsidP="00B23F22">
            <w:pPr>
              <w:spacing w:line="320" w:lineRule="exact"/>
              <w:rPr>
                <w:rFonts w:cs="Times New Roman"/>
                <w:color w:val="000000"/>
                <w:sz w:val="24"/>
                <w:szCs w:val="24"/>
              </w:rPr>
            </w:pPr>
            <w:r w:rsidRPr="0094565A">
              <w:rPr>
                <w:rFonts w:ascii="仿宋" w:eastAsia="仿宋" w:hAnsi="仿宋" w:cs="仿宋" w:hint="eastAsia"/>
                <w:color w:val="000000"/>
                <w:sz w:val="24"/>
                <w:szCs w:val="24"/>
              </w:rPr>
              <w:t>公共停车场（库）无障碍设施建设率应达到</w:t>
            </w:r>
            <w:r w:rsidRPr="0094565A">
              <w:rPr>
                <w:rFonts w:ascii="仿宋" w:eastAsia="仿宋" w:hAnsi="仿宋" w:cs="仿宋"/>
                <w:color w:val="000000"/>
                <w:sz w:val="24"/>
                <w:szCs w:val="24"/>
              </w:rPr>
              <w:t>100%</w:t>
            </w:r>
            <w:r w:rsidRPr="0094565A">
              <w:rPr>
                <w:rFonts w:ascii="仿宋" w:eastAsia="仿宋" w:hAnsi="仿宋" w:cs="仿宋" w:hint="eastAsia"/>
                <w:color w:val="000000"/>
                <w:sz w:val="24"/>
                <w:szCs w:val="24"/>
              </w:rPr>
              <w:t>，并符合《无障碍设计规范》</w:t>
            </w:r>
            <w:r w:rsidRPr="0094565A">
              <w:rPr>
                <w:rFonts w:ascii="仿宋" w:eastAsia="仿宋" w:hAnsi="仿宋" w:cs="仿宋"/>
                <w:color w:val="000000"/>
                <w:sz w:val="24"/>
                <w:szCs w:val="24"/>
              </w:rPr>
              <w:t>(GB50763)</w:t>
            </w:r>
            <w:r w:rsidRPr="0094565A">
              <w:rPr>
                <w:rFonts w:ascii="仿宋" w:eastAsia="仿宋" w:hAnsi="仿宋" w:cs="仿宋" w:hint="eastAsia"/>
                <w:color w:val="000000"/>
                <w:sz w:val="24"/>
                <w:szCs w:val="24"/>
              </w:rPr>
              <w:t>的要求。</w:t>
            </w:r>
          </w:p>
        </w:tc>
        <w:tc>
          <w:tcPr>
            <w:tcW w:w="2281" w:type="dxa"/>
            <w:vAlign w:val="center"/>
          </w:tcPr>
          <w:p w:rsidR="00720595" w:rsidRPr="0094565A" w:rsidRDefault="00720595" w:rsidP="00B23F22">
            <w:pPr>
              <w:spacing w:line="320" w:lineRule="exact"/>
              <w:jc w:val="center"/>
              <w:rPr>
                <w:rFonts w:ascii="仿宋" w:eastAsia="仿宋" w:hAnsi="仿宋" w:cs="Times New Roman"/>
                <w:color w:val="000000"/>
                <w:sz w:val="24"/>
                <w:szCs w:val="24"/>
              </w:rPr>
            </w:pPr>
            <w:r w:rsidRPr="0094565A">
              <w:rPr>
                <w:rFonts w:ascii="仿宋" w:eastAsia="仿宋" w:hAnsi="仿宋" w:cs="仿宋" w:hint="eastAsia"/>
                <w:color w:val="000000"/>
                <w:sz w:val="24"/>
                <w:szCs w:val="24"/>
              </w:rPr>
              <w:t>市住房城乡建设局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sidRPr="0094565A">
              <w:rPr>
                <w:rFonts w:ascii="仿宋" w:eastAsia="仿宋" w:hAnsi="仿宋" w:cs="仿宋" w:hint="eastAsia"/>
                <w:color w:val="000000"/>
                <w:sz w:val="24"/>
                <w:szCs w:val="24"/>
              </w:rPr>
              <w:t>市自然资源局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w:t>
            </w:r>
            <w:r w:rsidRPr="0094565A">
              <w:rPr>
                <w:rFonts w:ascii="仿宋" w:eastAsia="仿宋" w:hAnsi="仿宋" w:cs="仿宋" w:hint="eastAsia"/>
                <w:color w:val="000000"/>
                <w:sz w:val="24"/>
                <w:szCs w:val="24"/>
              </w:rPr>
              <w:t>交通运输局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w:t>
            </w:r>
            <w:r w:rsidRPr="0094565A">
              <w:rPr>
                <w:rFonts w:ascii="仿宋" w:eastAsia="仿宋" w:hAnsi="仿宋" w:cs="仿宋" w:hint="eastAsia"/>
                <w:color w:val="000000"/>
                <w:sz w:val="24"/>
                <w:szCs w:val="24"/>
              </w:rPr>
              <w:t>公安局</w:t>
            </w:r>
          </w:p>
          <w:p w:rsidR="00720595" w:rsidRPr="0094565A"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w:t>
            </w:r>
            <w:r w:rsidRPr="0094565A">
              <w:rPr>
                <w:rFonts w:ascii="仿宋" w:eastAsia="仿宋" w:hAnsi="仿宋" w:cs="仿宋" w:hint="eastAsia"/>
                <w:color w:val="000000"/>
                <w:sz w:val="24"/>
                <w:szCs w:val="24"/>
              </w:rPr>
              <w:t>城市管理监督局</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trHeight w:val="1011"/>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2</w:t>
            </w:r>
          </w:p>
        </w:tc>
        <w:tc>
          <w:tcPr>
            <w:tcW w:w="1776" w:type="dxa"/>
            <w:vAlign w:val="center"/>
          </w:tcPr>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已建公共停车场（库）</w:t>
            </w:r>
          </w:p>
        </w:tc>
        <w:tc>
          <w:tcPr>
            <w:tcW w:w="5899" w:type="dxa"/>
            <w:vAlign w:val="center"/>
          </w:tcPr>
          <w:p w:rsidR="00720595" w:rsidRPr="0094565A" w:rsidRDefault="00720595" w:rsidP="00B23F22">
            <w:pPr>
              <w:spacing w:line="320" w:lineRule="exact"/>
              <w:rPr>
                <w:rFonts w:cs="Times New Roman"/>
                <w:color w:val="000000"/>
                <w:sz w:val="24"/>
                <w:szCs w:val="24"/>
              </w:rPr>
            </w:pPr>
            <w:r w:rsidRPr="0094565A">
              <w:rPr>
                <w:rFonts w:ascii="仿宋" w:eastAsia="仿宋" w:hAnsi="仿宋" w:cs="仿宋" w:hint="eastAsia"/>
                <w:color w:val="000000"/>
                <w:sz w:val="24"/>
                <w:szCs w:val="24"/>
              </w:rPr>
              <w:t>公共停车场（库）无障碍改造率应不低于</w:t>
            </w:r>
            <w:r w:rsidRPr="0094565A">
              <w:rPr>
                <w:rFonts w:ascii="仿宋" w:eastAsia="仿宋" w:hAnsi="仿宋" w:cs="仿宋"/>
                <w:color w:val="000000"/>
                <w:sz w:val="24"/>
                <w:szCs w:val="24"/>
              </w:rPr>
              <w:t>60%</w:t>
            </w:r>
            <w:r w:rsidRPr="0094565A">
              <w:rPr>
                <w:rFonts w:ascii="仿宋" w:eastAsia="仿宋" w:hAnsi="仿宋" w:cs="仿宋" w:hint="eastAsia"/>
                <w:color w:val="000000"/>
                <w:sz w:val="24"/>
                <w:szCs w:val="24"/>
              </w:rPr>
              <w:t>，且布局合理。</w:t>
            </w:r>
          </w:p>
        </w:tc>
        <w:tc>
          <w:tcPr>
            <w:tcW w:w="2281" w:type="dxa"/>
            <w:vAlign w:val="center"/>
          </w:tcPr>
          <w:p w:rsidR="00720595" w:rsidRPr="0094565A" w:rsidRDefault="00720595" w:rsidP="00B23F22">
            <w:pPr>
              <w:spacing w:line="320" w:lineRule="exact"/>
              <w:jc w:val="center"/>
              <w:rPr>
                <w:rFonts w:ascii="仿宋" w:eastAsia="仿宋" w:hAnsi="仿宋" w:cs="Times New Roman"/>
                <w:sz w:val="24"/>
                <w:szCs w:val="24"/>
              </w:rPr>
            </w:pPr>
            <w:r w:rsidRPr="0094565A">
              <w:rPr>
                <w:rFonts w:ascii="仿宋" w:eastAsia="仿宋" w:hAnsi="仿宋" w:cs="仿宋" w:hint="eastAsia"/>
                <w:sz w:val="24"/>
                <w:szCs w:val="24"/>
              </w:rPr>
              <w:t>玉林城投集团</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sidRPr="0094565A">
              <w:rPr>
                <w:rFonts w:ascii="仿宋" w:eastAsia="仿宋" w:hAnsi="仿宋" w:cs="仿宋" w:hint="eastAsia"/>
                <w:color w:val="000000"/>
                <w:sz w:val="24"/>
                <w:szCs w:val="24"/>
              </w:rPr>
              <w:t>市交通运输局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w:t>
            </w:r>
            <w:r w:rsidRPr="0094565A">
              <w:rPr>
                <w:rFonts w:ascii="仿宋" w:eastAsia="仿宋" w:hAnsi="仿宋" w:cs="仿宋" w:hint="eastAsia"/>
                <w:color w:val="000000"/>
                <w:sz w:val="24"/>
                <w:szCs w:val="24"/>
              </w:rPr>
              <w:t>公安局</w:t>
            </w:r>
          </w:p>
          <w:p w:rsidR="00720595" w:rsidRPr="0094565A"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w:t>
            </w:r>
            <w:r w:rsidRPr="0094565A">
              <w:rPr>
                <w:rFonts w:ascii="仿宋" w:eastAsia="仿宋" w:hAnsi="仿宋" w:cs="仿宋" w:hint="eastAsia"/>
                <w:color w:val="000000"/>
                <w:sz w:val="24"/>
                <w:szCs w:val="24"/>
              </w:rPr>
              <w:t>城市管理监督局</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trHeight w:val="513"/>
          <w:jc w:val="center"/>
        </w:trPr>
        <w:tc>
          <w:tcPr>
            <w:tcW w:w="13779" w:type="dxa"/>
            <w:gridSpan w:val="6"/>
            <w:vAlign w:val="center"/>
          </w:tcPr>
          <w:p w:rsidR="00720595" w:rsidRPr="0094565A" w:rsidRDefault="00720595" w:rsidP="00B23F22">
            <w:pPr>
              <w:spacing w:line="360" w:lineRule="exact"/>
              <w:jc w:val="center"/>
              <w:rPr>
                <w:rFonts w:cs="Times New Roman"/>
                <w:b/>
                <w:bCs/>
                <w:color w:val="000000"/>
                <w:sz w:val="24"/>
                <w:szCs w:val="24"/>
              </w:rPr>
            </w:pPr>
            <w:r w:rsidRPr="0094565A">
              <w:rPr>
                <w:rFonts w:ascii="黑体" w:eastAsia="黑体" w:hAnsi="黑体" w:cs="黑体" w:hint="eastAsia"/>
                <w:color w:val="000000"/>
                <w:sz w:val="24"/>
                <w:szCs w:val="24"/>
              </w:rPr>
              <w:t>类别七：居住小区、居住建筑无障碍设施建设与改造</w:t>
            </w:r>
          </w:p>
        </w:tc>
      </w:tr>
      <w:tr w:rsidR="00720595" w:rsidTr="00B23F22">
        <w:trPr>
          <w:trHeight w:val="1030"/>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1</w:t>
            </w:r>
          </w:p>
        </w:tc>
        <w:tc>
          <w:tcPr>
            <w:tcW w:w="1776" w:type="dxa"/>
            <w:vAlign w:val="center"/>
          </w:tcPr>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新建居住区、居住建筑</w:t>
            </w:r>
          </w:p>
        </w:tc>
        <w:tc>
          <w:tcPr>
            <w:tcW w:w="5899" w:type="dxa"/>
            <w:vAlign w:val="center"/>
          </w:tcPr>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居住区、居住建筑无障碍设施建设率应达到</w:t>
            </w:r>
            <w:r>
              <w:rPr>
                <w:rFonts w:ascii="仿宋" w:eastAsia="仿宋" w:hAnsi="仿宋" w:cs="仿宋"/>
                <w:color w:val="000000"/>
                <w:sz w:val="24"/>
                <w:szCs w:val="24"/>
              </w:rPr>
              <w:t>100%</w:t>
            </w:r>
            <w:r>
              <w:rPr>
                <w:rFonts w:ascii="仿宋" w:eastAsia="仿宋" w:hAnsi="仿宋" w:cs="仿宋" w:hint="eastAsia"/>
                <w:color w:val="000000"/>
                <w:sz w:val="24"/>
                <w:szCs w:val="24"/>
              </w:rPr>
              <w:t>，并符合《无障碍设计规范》</w:t>
            </w:r>
            <w:r>
              <w:rPr>
                <w:rFonts w:ascii="仿宋" w:eastAsia="仿宋" w:hAnsi="仿宋" w:cs="仿宋"/>
                <w:color w:val="000000"/>
                <w:sz w:val="24"/>
                <w:szCs w:val="24"/>
              </w:rPr>
              <w:t>(GB50763)</w:t>
            </w:r>
            <w:r>
              <w:rPr>
                <w:rFonts w:ascii="仿宋" w:eastAsia="仿宋" w:hAnsi="仿宋" w:cs="仿宋" w:hint="eastAsia"/>
                <w:color w:val="000000"/>
                <w:sz w:val="24"/>
                <w:szCs w:val="24"/>
              </w:rPr>
              <w:t>、《老年人照料设施建筑设计标准》（</w:t>
            </w:r>
            <w:r>
              <w:rPr>
                <w:rFonts w:ascii="仿宋" w:eastAsia="仿宋" w:hAnsi="仿宋" w:cs="仿宋"/>
                <w:color w:val="000000"/>
                <w:sz w:val="24"/>
                <w:szCs w:val="24"/>
              </w:rPr>
              <w:t>JGJ450</w:t>
            </w:r>
            <w:r>
              <w:rPr>
                <w:rFonts w:ascii="仿宋" w:eastAsia="仿宋" w:hAnsi="仿宋" w:cs="仿宋" w:hint="eastAsia"/>
                <w:color w:val="000000"/>
                <w:sz w:val="24"/>
                <w:szCs w:val="24"/>
              </w:rPr>
              <w:t>）的要求。</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市自然资源局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玉州区人民政府</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玉东新区管委</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trHeight w:val="1074"/>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2</w:t>
            </w:r>
          </w:p>
        </w:tc>
        <w:tc>
          <w:tcPr>
            <w:tcW w:w="1776" w:type="dxa"/>
            <w:vAlign w:val="center"/>
          </w:tcPr>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已建居住区</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居住区无障碍改造率应不低于</w:t>
            </w:r>
            <w:r>
              <w:rPr>
                <w:rFonts w:ascii="仿宋" w:eastAsia="仿宋" w:hAnsi="仿宋" w:cs="仿宋"/>
                <w:color w:val="000000"/>
                <w:sz w:val="24"/>
                <w:szCs w:val="24"/>
              </w:rPr>
              <w:t>50%</w:t>
            </w:r>
            <w:r>
              <w:rPr>
                <w:rFonts w:ascii="仿宋" w:eastAsia="仿宋" w:hAnsi="仿宋" w:cs="仿宋" w:hint="eastAsia"/>
                <w:color w:val="000000"/>
                <w:sz w:val="24"/>
                <w:szCs w:val="24"/>
              </w:rPr>
              <w:t>，且布局合理。</w:t>
            </w:r>
          </w:p>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主要改造内容为：居住区内人行道、公共绿地、公共厕所、配套公共服务设施、无障碍停车位。</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玉州区人民政府</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玉东新区管委</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trHeight w:val="1399"/>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3</w:t>
            </w:r>
          </w:p>
        </w:tc>
        <w:tc>
          <w:tcPr>
            <w:tcW w:w="1776" w:type="dxa"/>
            <w:vAlign w:val="center"/>
          </w:tcPr>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已建高层和中高层住宅、公寓和宿舍建筑</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高层和中高层住宅、公寓和宿舍建筑无障碍改造率应不低于</w:t>
            </w:r>
            <w:r>
              <w:rPr>
                <w:rFonts w:ascii="仿宋" w:eastAsia="仿宋" w:hAnsi="仿宋" w:cs="仿宋"/>
                <w:color w:val="000000"/>
                <w:sz w:val="24"/>
                <w:szCs w:val="24"/>
              </w:rPr>
              <w:t>60%</w:t>
            </w:r>
            <w:r>
              <w:rPr>
                <w:rFonts w:ascii="仿宋" w:eastAsia="仿宋" w:hAnsi="仿宋" w:cs="仿宋" w:hint="eastAsia"/>
                <w:color w:val="000000"/>
                <w:sz w:val="24"/>
                <w:szCs w:val="24"/>
              </w:rPr>
              <w:t>，且布局合理。</w:t>
            </w:r>
          </w:p>
          <w:p w:rsidR="00720595" w:rsidRDefault="00720595" w:rsidP="00B23F22">
            <w:pPr>
              <w:spacing w:line="320" w:lineRule="exact"/>
              <w:rPr>
                <w:rFonts w:cs="Times New Roman"/>
                <w:color w:val="000000"/>
                <w:sz w:val="28"/>
                <w:szCs w:val="28"/>
              </w:rPr>
            </w:pPr>
            <w:r>
              <w:rPr>
                <w:rFonts w:ascii="仿宋" w:eastAsia="仿宋" w:hAnsi="仿宋" w:cs="仿宋" w:hint="eastAsia"/>
                <w:color w:val="000000"/>
                <w:sz w:val="24"/>
                <w:szCs w:val="24"/>
              </w:rPr>
              <w:t>主要改造内容为：居住建筑出入口坡化处理，无电梯的不作要求，有电梯的待更换电梯时再选用无障碍电梯，公寓、宿舍设无障碍公共卫生间。</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玉州区人民政府</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玉东新区管委</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trHeight w:val="2724"/>
          <w:jc w:val="center"/>
        </w:trPr>
        <w:tc>
          <w:tcPr>
            <w:tcW w:w="583" w:type="dxa"/>
            <w:vAlign w:val="center"/>
          </w:tcPr>
          <w:p w:rsidR="00720595" w:rsidRDefault="00720595" w:rsidP="00B23F22">
            <w:pPr>
              <w:spacing w:line="320" w:lineRule="exact"/>
              <w:jc w:val="center"/>
              <w:rPr>
                <w:rFonts w:cs="Times New Roman"/>
                <w:color w:val="000000"/>
                <w:sz w:val="28"/>
                <w:szCs w:val="28"/>
              </w:rPr>
            </w:pPr>
            <w:r>
              <w:rPr>
                <w:rFonts w:ascii="仿宋" w:eastAsia="仿宋" w:hAnsi="仿宋" w:cs="仿宋"/>
                <w:color w:val="000000"/>
                <w:sz w:val="28"/>
                <w:szCs w:val="28"/>
              </w:rPr>
              <w:t>4</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残疾人、老年人家庭</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逐步对残疾人、老年人家庭进行无障碍环境建设与改造，基本完成贫困重度残疾人家庭无障碍改造任务。</w:t>
            </w:r>
          </w:p>
          <w:p w:rsidR="00720595" w:rsidRDefault="00720595" w:rsidP="00B23F22">
            <w:pPr>
              <w:spacing w:line="320" w:lineRule="exact"/>
              <w:rPr>
                <w:rFonts w:cs="Times New Roman"/>
                <w:color w:val="000000"/>
                <w:sz w:val="28"/>
                <w:szCs w:val="28"/>
              </w:rPr>
            </w:pPr>
            <w:r>
              <w:rPr>
                <w:rFonts w:ascii="仿宋" w:eastAsia="仿宋" w:hAnsi="仿宋" w:cs="仿宋" w:hint="eastAsia"/>
                <w:color w:val="000000"/>
                <w:sz w:val="24"/>
                <w:szCs w:val="24"/>
              </w:rPr>
              <w:t>主要改造内容为：根据需要，地面平整及坡化、设置低位灶台（盲人家庭灶台有煤气泄漏报警装置）、房门改造、安装语音对讲门铃（或可视门铃、闪光门铃）、坐便器改造、安装卫生间热水器、扶手（洗手池扶手、坐便器扶手、淋浴扶手）、浴凳及改善残疾人、老年人家居卫生条件的其他设施。</w:t>
            </w:r>
          </w:p>
        </w:tc>
        <w:tc>
          <w:tcPr>
            <w:tcW w:w="2281" w:type="dxa"/>
            <w:vAlign w:val="center"/>
          </w:tcPr>
          <w:p w:rsidR="00720595" w:rsidRDefault="00720595" w:rsidP="00B23F22">
            <w:pPr>
              <w:spacing w:line="320" w:lineRule="exact"/>
              <w:jc w:val="center"/>
              <w:rPr>
                <w:rFonts w:cs="Times New Roman"/>
                <w:color w:val="000000"/>
                <w:sz w:val="24"/>
                <w:szCs w:val="24"/>
              </w:rPr>
            </w:pPr>
            <w:r>
              <w:rPr>
                <w:rFonts w:ascii="仿宋" w:eastAsia="仿宋" w:hAnsi="仿宋" w:cs="仿宋" w:hint="eastAsia"/>
                <w:color w:val="000000"/>
                <w:sz w:val="24"/>
                <w:szCs w:val="24"/>
              </w:rPr>
              <w:t>市残联</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玉州区人民政府</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玉东新区管委</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市住房城乡建设局</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trHeight w:val="539"/>
          <w:jc w:val="center"/>
        </w:trPr>
        <w:tc>
          <w:tcPr>
            <w:tcW w:w="13779" w:type="dxa"/>
            <w:gridSpan w:val="6"/>
            <w:vAlign w:val="center"/>
          </w:tcPr>
          <w:p w:rsidR="00720595" w:rsidRPr="0094565A" w:rsidRDefault="00720595" w:rsidP="00B23F22">
            <w:pPr>
              <w:spacing w:line="360" w:lineRule="exact"/>
              <w:jc w:val="center"/>
              <w:rPr>
                <w:rFonts w:cs="Times New Roman"/>
                <w:color w:val="000000"/>
                <w:sz w:val="24"/>
                <w:szCs w:val="24"/>
              </w:rPr>
            </w:pPr>
            <w:r w:rsidRPr="0094565A">
              <w:rPr>
                <w:rFonts w:ascii="黑体" w:eastAsia="黑体" w:hAnsi="黑体" w:cs="黑体" w:hint="eastAsia"/>
                <w:color w:val="000000"/>
                <w:sz w:val="24"/>
                <w:szCs w:val="24"/>
              </w:rPr>
              <w:t>类别八：信息交流无障碍环境建设</w:t>
            </w:r>
          </w:p>
        </w:tc>
      </w:tr>
      <w:tr w:rsidR="00720595" w:rsidTr="00B23F22">
        <w:trPr>
          <w:trHeight w:val="919"/>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1</w:t>
            </w:r>
          </w:p>
        </w:tc>
        <w:tc>
          <w:tcPr>
            <w:tcW w:w="1776" w:type="dxa"/>
            <w:vAlign w:val="center"/>
          </w:tcPr>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无障碍信息交流</w:t>
            </w:r>
          </w:p>
        </w:tc>
        <w:tc>
          <w:tcPr>
            <w:tcW w:w="5899" w:type="dxa"/>
            <w:vAlign w:val="center"/>
          </w:tcPr>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政府应将无障碍信息交流建设纳入信息化建设规划。</w:t>
            </w:r>
          </w:p>
        </w:tc>
        <w:tc>
          <w:tcPr>
            <w:tcW w:w="2281" w:type="dxa"/>
            <w:vAlign w:val="center"/>
          </w:tcPr>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sz w:val="24"/>
                <w:szCs w:val="24"/>
              </w:rPr>
              <w:t>市发展改革委</w:t>
            </w:r>
          </w:p>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color w:val="000000"/>
                <w:sz w:val="24"/>
                <w:szCs w:val="24"/>
              </w:rPr>
              <w:t>市</w:t>
            </w:r>
            <w:r>
              <w:rPr>
                <w:rFonts w:ascii="仿宋" w:eastAsia="仿宋" w:hAnsi="仿宋" w:cs="仿宋" w:hint="eastAsia"/>
                <w:sz w:val="24"/>
                <w:szCs w:val="24"/>
              </w:rPr>
              <w:t>大数据发展和政务服务局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trHeight w:val="888"/>
          <w:jc w:val="center"/>
        </w:trPr>
        <w:tc>
          <w:tcPr>
            <w:tcW w:w="583" w:type="dxa"/>
            <w:vAlign w:val="center"/>
          </w:tcPr>
          <w:p w:rsidR="00720595" w:rsidRDefault="00720595" w:rsidP="00B23F22">
            <w:pPr>
              <w:spacing w:line="320" w:lineRule="exact"/>
              <w:jc w:val="center"/>
              <w:rPr>
                <w:rFonts w:cs="Times New Roman"/>
                <w:color w:val="000000"/>
                <w:sz w:val="28"/>
                <w:szCs w:val="28"/>
              </w:rPr>
            </w:pPr>
          </w:p>
          <w:p w:rsidR="00720595" w:rsidRDefault="00720595" w:rsidP="00B23F22">
            <w:pPr>
              <w:spacing w:line="320" w:lineRule="exact"/>
              <w:jc w:val="center"/>
              <w:rPr>
                <w:color w:val="000000"/>
                <w:sz w:val="28"/>
                <w:szCs w:val="28"/>
              </w:rPr>
            </w:pPr>
            <w:r>
              <w:rPr>
                <w:color w:val="000000"/>
                <w:sz w:val="28"/>
                <w:szCs w:val="28"/>
              </w:rPr>
              <w:t>2</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p>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重要政府信息</w:t>
            </w:r>
          </w:p>
        </w:tc>
        <w:tc>
          <w:tcPr>
            <w:tcW w:w="5899" w:type="dxa"/>
            <w:vAlign w:val="center"/>
          </w:tcPr>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政府及其有关部门发布重要政府信息和与残疾人相关的信息，应创造条件为残疾人提供语音和文字提示等信息交流服务。</w:t>
            </w:r>
          </w:p>
        </w:tc>
        <w:tc>
          <w:tcPr>
            <w:tcW w:w="2281" w:type="dxa"/>
            <w:vAlign w:val="center"/>
          </w:tcPr>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sz w:val="24"/>
                <w:szCs w:val="24"/>
              </w:rPr>
              <w:t>市发展改革委</w:t>
            </w:r>
          </w:p>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color w:val="000000"/>
                <w:sz w:val="24"/>
                <w:szCs w:val="24"/>
              </w:rPr>
              <w:t>市</w:t>
            </w:r>
            <w:r>
              <w:rPr>
                <w:rFonts w:ascii="仿宋" w:eastAsia="仿宋" w:hAnsi="仿宋" w:cs="仿宋" w:hint="eastAsia"/>
                <w:sz w:val="24"/>
                <w:szCs w:val="24"/>
              </w:rPr>
              <w:t>大数据发展和政务服务局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trHeight w:val="1013"/>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3</w:t>
            </w:r>
          </w:p>
        </w:tc>
        <w:tc>
          <w:tcPr>
            <w:tcW w:w="1776" w:type="dxa"/>
            <w:vAlign w:val="center"/>
          </w:tcPr>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电视台和影视类录像制品</w:t>
            </w:r>
          </w:p>
        </w:tc>
        <w:tc>
          <w:tcPr>
            <w:tcW w:w="5899" w:type="dxa"/>
            <w:vAlign w:val="center"/>
          </w:tcPr>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政府设立的电视台在播出电视节目时应配备字幕，每周应播放至少一次配播手语的新闻节目。公开出版发行的影视类录像制品应配备字幕。</w:t>
            </w:r>
          </w:p>
        </w:tc>
        <w:tc>
          <w:tcPr>
            <w:tcW w:w="2281" w:type="dxa"/>
            <w:vAlign w:val="center"/>
          </w:tcPr>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sz w:val="24"/>
                <w:szCs w:val="24"/>
              </w:rPr>
              <w:t>市委宣传部</w:t>
            </w:r>
          </w:p>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sz w:val="24"/>
                <w:szCs w:val="24"/>
              </w:rPr>
              <w:t>市文化广电体育和旅游局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trHeight w:val="940"/>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4</w:t>
            </w:r>
          </w:p>
        </w:tc>
        <w:tc>
          <w:tcPr>
            <w:tcW w:w="1776" w:type="dxa"/>
            <w:vAlign w:val="center"/>
          </w:tcPr>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视力残疾人阅览室</w:t>
            </w:r>
          </w:p>
        </w:tc>
        <w:tc>
          <w:tcPr>
            <w:tcW w:w="5899" w:type="dxa"/>
            <w:vAlign w:val="center"/>
          </w:tcPr>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政府设立的公共图书馆应开设视力残疾人阅览室，提供盲文读物、有声读物。</w:t>
            </w:r>
          </w:p>
        </w:tc>
        <w:tc>
          <w:tcPr>
            <w:tcW w:w="2281" w:type="dxa"/>
            <w:vAlign w:val="center"/>
          </w:tcPr>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sz w:val="24"/>
                <w:szCs w:val="24"/>
              </w:rPr>
              <w:t>市文化广电体育和旅游局</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5</w:t>
            </w:r>
          </w:p>
        </w:tc>
        <w:tc>
          <w:tcPr>
            <w:tcW w:w="1776" w:type="dxa"/>
            <w:vAlign w:val="center"/>
          </w:tcPr>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无障碍网站</w:t>
            </w:r>
          </w:p>
        </w:tc>
        <w:tc>
          <w:tcPr>
            <w:tcW w:w="5899" w:type="dxa"/>
            <w:vAlign w:val="center"/>
          </w:tcPr>
          <w:p w:rsidR="00720595" w:rsidRDefault="00720595" w:rsidP="00B23F22">
            <w:pPr>
              <w:spacing w:line="320" w:lineRule="exact"/>
              <w:rPr>
                <w:rFonts w:cs="Times New Roman"/>
                <w:color w:val="000000"/>
                <w:sz w:val="24"/>
                <w:szCs w:val="24"/>
              </w:rPr>
            </w:pPr>
            <w:r>
              <w:rPr>
                <w:rFonts w:ascii="仿宋" w:eastAsia="仿宋" w:hAnsi="仿宋" w:cs="仿宋" w:hint="eastAsia"/>
                <w:color w:val="000000"/>
                <w:sz w:val="24"/>
                <w:szCs w:val="24"/>
              </w:rPr>
              <w:t>残疾人组织网站、政府网站、政府公益活动网站应达到无障碍网站设计标准。</w:t>
            </w:r>
          </w:p>
        </w:tc>
        <w:tc>
          <w:tcPr>
            <w:tcW w:w="2281" w:type="dxa"/>
            <w:vAlign w:val="center"/>
          </w:tcPr>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sz w:val="24"/>
                <w:szCs w:val="24"/>
              </w:rPr>
              <w:t>市发展改革委</w:t>
            </w:r>
          </w:p>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sz w:val="24"/>
                <w:szCs w:val="24"/>
              </w:rPr>
              <w:t>市大数据发展和政务服务局</w:t>
            </w:r>
          </w:p>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sz w:val="24"/>
                <w:szCs w:val="24"/>
              </w:rPr>
              <w:t>市残联</w:t>
            </w:r>
          </w:p>
        </w:tc>
        <w:tc>
          <w:tcPr>
            <w:tcW w:w="2340"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领导小组各成员单位</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6</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公共服务机构和公共场所</w:t>
            </w:r>
          </w:p>
        </w:tc>
        <w:tc>
          <w:tcPr>
            <w:tcW w:w="5899" w:type="dxa"/>
            <w:vAlign w:val="center"/>
          </w:tcPr>
          <w:p w:rsidR="00720595" w:rsidRDefault="00720595" w:rsidP="00B23F22">
            <w:pPr>
              <w:spacing w:line="320" w:lineRule="exact"/>
              <w:rPr>
                <w:rFonts w:cs="Times New Roman"/>
                <w:color w:val="000000"/>
                <w:sz w:val="28"/>
                <w:szCs w:val="28"/>
              </w:rPr>
            </w:pPr>
            <w:r>
              <w:rPr>
                <w:rFonts w:ascii="仿宋" w:eastAsia="仿宋" w:hAnsi="仿宋" w:cs="仿宋" w:hint="eastAsia"/>
                <w:color w:val="000000"/>
                <w:sz w:val="24"/>
                <w:szCs w:val="24"/>
              </w:rPr>
              <w:t>公共服务机构和公共场所应为残疾人提供语音和文字提示、手语、盲文等信息交流服务。</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市发展改革委</w:t>
            </w:r>
          </w:p>
          <w:p w:rsidR="00720595" w:rsidRDefault="00720595" w:rsidP="00B23F22">
            <w:pPr>
              <w:spacing w:line="320" w:lineRule="exact"/>
              <w:jc w:val="center"/>
              <w:rPr>
                <w:rFonts w:ascii="仿宋" w:eastAsia="仿宋" w:hAnsi="仿宋" w:cs="Times New Roman"/>
                <w:sz w:val="24"/>
                <w:szCs w:val="24"/>
              </w:rPr>
            </w:pPr>
            <w:r>
              <w:rPr>
                <w:rFonts w:ascii="仿宋" w:eastAsia="仿宋" w:hAnsi="仿宋" w:cs="仿宋" w:hint="eastAsia"/>
                <w:sz w:val="24"/>
                <w:szCs w:val="24"/>
              </w:rPr>
              <w:t>市大数据发展和政务服务局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sz w:val="24"/>
                <w:szCs w:val="24"/>
              </w:rPr>
              <w:t>市</w:t>
            </w:r>
            <w:r>
              <w:rPr>
                <w:rFonts w:ascii="仿宋" w:eastAsia="仿宋" w:hAnsi="仿宋" w:cs="仿宋" w:hint="eastAsia"/>
                <w:color w:val="000000"/>
                <w:sz w:val="24"/>
                <w:szCs w:val="24"/>
              </w:rPr>
              <w:t>残联</w:t>
            </w:r>
          </w:p>
        </w:tc>
        <w:tc>
          <w:tcPr>
            <w:tcW w:w="2340" w:type="dxa"/>
            <w:vAlign w:val="center"/>
          </w:tcPr>
          <w:p w:rsidR="00720595" w:rsidRDefault="00720595" w:rsidP="00B23F22">
            <w:pPr>
              <w:spacing w:line="320" w:lineRule="exact"/>
              <w:jc w:val="center"/>
              <w:rPr>
                <w:rFonts w:cs="Times New Roman"/>
                <w:color w:val="000000"/>
                <w:sz w:val="28"/>
                <w:szCs w:val="28"/>
              </w:rPr>
            </w:pPr>
            <w:r>
              <w:rPr>
                <w:rFonts w:ascii="仿宋" w:eastAsia="仿宋" w:hAnsi="仿宋" w:cs="仿宋" w:hint="eastAsia"/>
                <w:color w:val="000000"/>
                <w:sz w:val="24"/>
                <w:szCs w:val="24"/>
              </w:rPr>
              <w:t>领导小组各成员单位</w:t>
            </w:r>
          </w:p>
        </w:tc>
        <w:tc>
          <w:tcPr>
            <w:tcW w:w="900" w:type="dxa"/>
            <w:vAlign w:val="center"/>
          </w:tcPr>
          <w:p w:rsidR="00720595" w:rsidRDefault="00720595" w:rsidP="00B23F22">
            <w:pPr>
              <w:spacing w:line="360" w:lineRule="exact"/>
              <w:rPr>
                <w:rFonts w:cs="Times New Roman"/>
                <w:color w:val="000000"/>
                <w:sz w:val="28"/>
                <w:szCs w:val="28"/>
              </w:rPr>
            </w:pPr>
          </w:p>
        </w:tc>
      </w:tr>
      <w:tr w:rsidR="00720595" w:rsidTr="00B23F22">
        <w:trPr>
          <w:trHeight w:val="1011"/>
          <w:jc w:val="center"/>
        </w:trPr>
        <w:tc>
          <w:tcPr>
            <w:tcW w:w="583" w:type="dxa"/>
            <w:vAlign w:val="center"/>
          </w:tcPr>
          <w:p w:rsidR="00720595" w:rsidRDefault="00720595" w:rsidP="00B23F22">
            <w:pPr>
              <w:spacing w:line="320" w:lineRule="exact"/>
              <w:jc w:val="center"/>
              <w:rPr>
                <w:color w:val="000000"/>
                <w:sz w:val="28"/>
                <w:szCs w:val="28"/>
              </w:rPr>
            </w:pPr>
            <w:r>
              <w:rPr>
                <w:color w:val="000000"/>
                <w:sz w:val="28"/>
                <w:szCs w:val="28"/>
              </w:rPr>
              <w:t>7</w:t>
            </w:r>
          </w:p>
        </w:tc>
        <w:tc>
          <w:tcPr>
            <w:tcW w:w="1776"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落实无障碍信息消费政策</w:t>
            </w:r>
          </w:p>
        </w:tc>
        <w:tc>
          <w:tcPr>
            <w:tcW w:w="5899" w:type="dxa"/>
            <w:vAlign w:val="center"/>
          </w:tcPr>
          <w:p w:rsidR="00720595" w:rsidRDefault="00720595" w:rsidP="00B23F22">
            <w:pPr>
              <w:spacing w:line="320" w:lineRule="exact"/>
              <w:rPr>
                <w:rFonts w:ascii="仿宋" w:eastAsia="仿宋" w:hAnsi="仿宋" w:cs="Times New Roman"/>
                <w:color w:val="000000"/>
                <w:sz w:val="24"/>
                <w:szCs w:val="24"/>
              </w:rPr>
            </w:pPr>
            <w:r>
              <w:rPr>
                <w:rFonts w:ascii="仿宋" w:eastAsia="仿宋" w:hAnsi="仿宋" w:cs="仿宋" w:hint="eastAsia"/>
                <w:color w:val="000000"/>
                <w:sz w:val="24"/>
                <w:szCs w:val="24"/>
              </w:rPr>
              <w:t>基础电信企业应对持证视力、听力、言语残疾人使用固定电话、移动电话、宽带网络服务等费用予以适当优惠。</w:t>
            </w:r>
          </w:p>
        </w:tc>
        <w:tc>
          <w:tcPr>
            <w:tcW w:w="2281" w:type="dxa"/>
            <w:vAlign w:val="center"/>
          </w:tcPr>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市工业和信息化局</w:t>
            </w:r>
          </w:p>
          <w:p w:rsidR="00720595" w:rsidRDefault="00720595" w:rsidP="00B23F22">
            <w:pPr>
              <w:spacing w:line="320" w:lineRule="exact"/>
              <w:jc w:val="center"/>
              <w:rPr>
                <w:rFonts w:ascii="仿宋" w:eastAsia="仿宋" w:hAnsi="仿宋" w:cs="Times New Roman"/>
                <w:color w:val="000000"/>
                <w:sz w:val="24"/>
                <w:szCs w:val="24"/>
              </w:rPr>
            </w:pPr>
            <w:r>
              <w:rPr>
                <w:rFonts w:ascii="仿宋" w:eastAsia="仿宋" w:hAnsi="仿宋" w:cs="仿宋" w:hint="eastAsia"/>
                <w:color w:val="000000"/>
                <w:sz w:val="24"/>
                <w:szCs w:val="24"/>
              </w:rPr>
              <w:t>市残联</w:t>
            </w:r>
          </w:p>
        </w:tc>
        <w:tc>
          <w:tcPr>
            <w:tcW w:w="2340" w:type="dxa"/>
            <w:vAlign w:val="center"/>
          </w:tcPr>
          <w:p w:rsidR="00720595" w:rsidRDefault="00720595" w:rsidP="00B23F22">
            <w:pPr>
              <w:spacing w:line="320" w:lineRule="exact"/>
              <w:jc w:val="center"/>
              <w:rPr>
                <w:rFonts w:cs="Times New Roman"/>
                <w:color w:val="000000"/>
                <w:sz w:val="28"/>
                <w:szCs w:val="28"/>
              </w:rPr>
            </w:pPr>
          </w:p>
        </w:tc>
        <w:tc>
          <w:tcPr>
            <w:tcW w:w="900" w:type="dxa"/>
            <w:vAlign w:val="center"/>
          </w:tcPr>
          <w:p w:rsidR="00720595" w:rsidRDefault="00720595" w:rsidP="00B23F22">
            <w:pPr>
              <w:spacing w:line="360" w:lineRule="exact"/>
              <w:rPr>
                <w:rFonts w:cs="Times New Roman"/>
                <w:color w:val="000000"/>
                <w:sz w:val="28"/>
                <w:szCs w:val="28"/>
              </w:rPr>
            </w:pPr>
          </w:p>
        </w:tc>
      </w:tr>
    </w:tbl>
    <w:p w:rsidR="00720595" w:rsidRPr="00FD732C" w:rsidRDefault="00720595" w:rsidP="00FD732C">
      <w:pPr>
        <w:spacing w:line="480" w:lineRule="auto"/>
        <w:rPr>
          <w:rFonts w:ascii="宋体" w:cs="宋体"/>
          <w:sz w:val="24"/>
          <w:szCs w:val="24"/>
        </w:rPr>
      </w:pPr>
    </w:p>
    <w:sectPr w:rsidR="00720595" w:rsidRPr="00FD732C" w:rsidSect="00FD732C">
      <w:headerReference w:type="default" r:id="rId7"/>
      <w:footerReference w:type="default" r:id="rId8"/>
      <w:pgSz w:w="16838" w:h="11906" w:orient="landscape"/>
      <w:pgMar w:top="312" w:right="238" w:bottom="227" w:left="227" w:header="851" w:footer="1588" w:gutter="0"/>
      <w:cols w:space="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595" w:rsidRDefault="00720595" w:rsidP="009F5887">
      <w:pPr>
        <w:rPr>
          <w:rFonts w:cs="Times New Roman"/>
        </w:rPr>
      </w:pPr>
      <w:r>
        <w:rPr>
          <w:rFonts w:cs="Times New Roman"/>
        </w:rPr>
        <w:separator/>
      </w:r>
    </w:p>
  </w:endnote>
  <w:endnote w:type="continuationSeparator" w:id="0">
    <w:p w:rsidR="00720595" w:rsidRDefault="00720595" w:rsidP="009F588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595" w:rsidRDefault="00720595">
    <w:pPr>
      <w:pStyle w:val="Footer"/>
      <w:rPr>
        <w:rFonts w:cs="Times New Roman"/>
      </w:rPr>
    </w:pPr>
    <w:r>
      <w:rPr>
        <w:noProof/>
      </w:rPr>
      <w:pict>
        <v:shapetype id="_x0000_t202" coordsize="21600,21600" o:spt="202" path="m,l,21600r21600,l21600,xe">
          <v:stroke joinstyle="miter"/>
          <v:path gradientshapeok="t" o:connecttype="rect"/>
        </v:shapetype>
        <v:shape id="文本框 3" o:spid="_x0000_s2049" type="#_x0000_t202" style="position:absolute;margin-left:728pt;margin-top:0;width:2in;height:2in;z-index:251660288;mso-wrap-style:none;mso-position-horizontal:outside;mso-position-horizontal-relative:margin" filled="f" stroked="f">
          <v:textbox style="mso-fit-shape-to-text:t" inset="0,0,0,0">
            <w:txbxContent>
              <w:p w:rsidR="00720595" w:rsidRDefault="00720595">
                <w:pPr>
                  <w:snapToGrid w:val="0"/>
                  <w:rPr>
                    <w:rFonts w:cs="Times New Roman"/>
                    <w:sz w:val="28"/>
                    <w:szCs w:val="28"/>
                  </w:rPr>
                </w:pPr>
                <w:r>
                  <w:rPr>
                    <w:rFonts w:ascii="仿宋_GB2312" w:eastAsia="仿宋_GB2312" w:hAnsi="仿宋_GB2312" w:cs="仿宋_GB2312"/>
                    <w:sz w:val="28"/>
                    <w:szCs w:val="28"/>
                  </w:rPr>
                  <w:t>—</w:t>
                </w:r>
                <w:r>
                  <w:rPr>
                    <w:rFonts w:ascii="仿宋_GB2312" w:eastAsia="仿宋_GB2312" w:hAnsi="仿宋_GB2312" w:cs="仿宋_GB2312"/>
                    <w:sz w:val="28"/>
                    <w:szCs w:val="28"/>
                  </w:rPr>
                  <w:fldChar w:fldCharType="begin"/>
                </w:r>
                <w:r>
                  <w:rPr>
                    <w:rFonts w:ascii="仿宋_GB2312" w:eastAsia="仿宋_GB2312" w:hAnsi="仿宋_GB2312" w:cs="仿宋_GB2312"/>
                    <w:sz w:val="28"/>
                    <w:szCs w:val="28"/>
                  </w:rPr>
                  <w:instrText xml:space="preserve"> PAGE  \* MERGEFORMAT </w:instrText>
                </w:r>
                <w:r>
                  <w:rPr>
                    <w:rFonts w:ascii="仿宋_GB2312" w:eastAsia="仿宋_GB2312" w:hAnsi="仿宋_GB2312" w:cs="仿宋_GB2312"/>
                    <w:sz w:val="28"/>
                    <w:szCs w:val="28"/>
                  </w:rPr>
                  <w:fldChar w:fldCharType="separate"/>
                </w:r>
                <w:r>
                  <w:rPr>
                    <w:rFonts w:ascii="仿宋_GB2312" w:eastAsia="仿宋_GB2312" w:hAnsi="仿宋_GB2312" w:cs="仿宋_GB2312"/>
                    <w:noProof/>
                    <w:sz w:val="28"/>
                    <w:szCs w:val="28"/>
                  </w:rPr>
                  <w:t>1</w:t>
                </w:r>
                <w:r>
                  <w:rPr>
                    <w:rFonts w:ascii="仿宋_GB2312" w:eastAsia="仿宋_GB2312" w:hAnsi="仿宋_GB2312" w:cs="仿宋_GB2312"/>
                    <w:sz w:val="28"/>
                    <w:szCs w:val="28"/>
                  </w:rPr>
                  <w:fldChar w:fldCharType="end"/>
                </w:r>
                <w:r>
                  <w:rPr>
                    <w:rFonts w:ascii="仿宋_GB2312" w:eastAsia="仿宋_GB2312" w:hAnsi="仿宋_GB2312" w:cs="仿宋_GB2312"/>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595" w:rsidRDefault="00720595" w:rsidP="009F5887">
      <w:pPr>
        <w:rPr>
          <w:rFonts w:cs="Times New Roman"/>
        </w:rPr>
      </w:pPr>
      <w:r>
        <w:rPr>
          <w:rFonts w:cs="Times New Roman"/>
        </w:rPr>
        <w:separator/>
      </w:r>
    </w:p>
  </w:footnote>
  <w:footnote w:type="continuationSeparator" w:id="0">
    <w:p w:rsidR="00720595" w:rsidRDefault="00720595" w:rsidP="009F588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595" w:rsidRDefault="00720595">
    <w:pPr>
      <w:pStyle w:val="Header"/>
      <w:pBdr>
        <w:top w:val="none" w:sz="0" w:space="0" w:color="auto"/>
        <w:left w:val="none" w:sz="0" w:space="0" w:color="auto"/>
        <w:bottom w:val="none" w:sz="0" w:space="0" w:color="auto"/>
        <w:right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F5110"/>
    <w:multiLevelType w:val="multilevel"/>
    <w:tmpl w:val="6D1D456C"/>
    <w:lvl w:ilvl="0">
      <w:start w:val="1"/>
      <w:numFmt w:val="decimal"/>
      <w:suff w:val="space"/>
      <w:lvlText w:val="问题%1"/>
      <w:lvlJc w:val="left"/>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031A"/>
    <w:rsid w:val="00077C44"/>
    <w:rsid w:val="000B187A"/>
    <w:rsid w:val="000C780A"/>
    <w:rsid w:val="000E197E"/>
    <w:rsid w:val="0012031A"/>
    <w:rsid w:val="00192EFB"/>
    <w:rsid w:val="00195DAF"/>
    <w:rsid w:val="001A63E2"/>
    <w:rsid w:val="001B471D"/>
    <w:rsid w:val="001C359C"/>
    <w:rsid w:val="001F3286"/>
    <w:rsid w:val="00296722"/>
    <w:rsid w:val="002B10DE"/>
    <w:rsid w:val="002C4CAD"/>
    <w:rsid w:val="0032143A"/>
    <w:rsid w:val="00324201"/>
    <w:rsid w:val="00334588"/>
    <w:rsid w:val="00356FA9"/>
    <w:rsid w:val="003802E4"/>
    <w:rsid w:val="003F05D0"/>
    <w:rsid w:val="003F3711"/>
    <w:rsid w:val="00455D14"/>
    <w:rsid w:val="004742B8"/>
    <w:rsid w:val="004774FF"/>
    <w:rsid w:val="004D21F6"/>
    <w:rsid w:val="004E66E8"/>
    <w:rsid w:val="005079EA"/>
    <w:rsid w:val="0051521B"/>
    <w:rsid w:val="00546432"/>
    <w:rsid w:val="005B3577"/>
    <w:rsid w:val="0062085F"/>
    <w:rsid w:val="00632C02"/>
    <w:rsid w:val="0067457A"/>
    <w:rsid w:val="006835AA"/>
    <w:rsid w:val="006C1119"/>
    <w:rsid w:val="0070241C"/>
    <w:rsid w:val="0070670B"/>
    <w:rsid w:val="00717042"/>
    <w:rsid w:val="00720595"/>
    <w:rsid w:val="00730EA2"/>
    <w:rsid w:val="007312BA"/>
    <w:rsid w:val="007677B2"/>
    <w:rsid w:val="007731C3"/>
    <w:rsid w:val="0079004A"/>
    <w:rsid w:val="007D4B96"/>
    <w:rsid w:val="008346F6"/>
    <w:rsid w:val="008862A0"/>
    <w:rsid w:val="008922C6"/>
    <w:rsid w:val="008C3ED0"/>
    <w:rsid w:val="008D20B9"/>
    <w:rsid w:val="008F57BD"/>
    <w:rsid w:val="00903739"/>
    <w:rsid w:val="009149A9"/>
    <w:rsid w:val="0094565A"/>
    <w:rsid w:val="00954DCD"/>
    <w:rsid w:val="00973396"/>
    <w:rsid w:val="009F5887"/>
    <w:rsid w:val="00A032D2"/>
    <w:rsid w:val="00A14937"/>
    <w:rsid w:val="00A566C5"/>
    <w:rsid w:val="00A63346"/>
    <w:rsid w:val="00AC7CAC"/>
    <w:rsid w:val="00AD0ACC"/>
    <w:rsid w:val="00B12F3E"/>
    <w:rsid w:val="00B23F22"/>
    <w:rsid w:val="00B859AE"/>
    <w:rsid w:val="00B92D4E"/>
    <w:rsid w:val="00B96B6A"/>
    <w:rsid w:val="00BB05F4"/>
    <w:rsid w:val="00BE1F59"/>
    <w:rsid w:val="00C061FD"/>
    <w:rsid w:val="00C46D2E"/>
    <w:rsid w:val="00CB387F"/>
    <w:rsid w:val="00D0002E"/>
    <w:rsid w:val="00DC6158"/>
    <w:rsid w:val="00DD52D0"/>
    <w:rsid w:val="00E57654"/>
    <w:rsid w:val="00F06F7E"/>
    <w:rsid w:val="00F10636"/>
    <w:rsid w:val="00F20635"/>
    <w:rsid w:val="00F637CD"/>
    <w:rsid w:val="00F90B02"/>
    <w:rsid w:val="00FA7666"/>
    <w:rsid w:val="00FD732C"/>
    <w:rsid w:val="00FE5C78"/>
    <w:rsid w:val="00FE7FDA"/>
    <w:rsid w:val="00FF5944"/>
    <w:rsid w:val="02D429AE"/>
    <w:rsid w:val="05872EDC"/>
    <w:rsid w:val="08B56825"/>
    <w:rsid w:val="08D3508C"/>
    <w:rsid w:val="09DB019C"/>
    <w:rsid w:val="0AEB26C2"/>
    <w:rsid w:val="0B0C59AF"/>
    <w:rsid w:val="0C8910A0"/>
    <w:rsid w:val="0D475C50"/>
    <w:rsid w:val="0D790898"/>
    <w:rsid w:val="0E8402CA"/>
    <w:rsid w:val="10470DA0"/>
    <w:rsid w:val="109409E1"/>
    <w:rsid w:val="10DA050C"/>
    <w:rsid w:val="11853C99"/>
    <w:rsid w:val="12DA131B"/>
    <w:rsid w:val="15A677EF"/>
    <w:rsid w:val="19943E5D"/>
    <w:rsid w:val="1BAC3F83"/>
    <w:rsid w:val="1D0A424C"/>
    <w:rsid w:val="1DA46E16"/>
    <w:rsid w:val="21711A4C"/>
    <w:rsid w:val="24307C3C"/>
    <w:rsid w:val="25464EE2"/>
    <w:rsid w:val="26736BE6"/>
    <w:rsid w:val="280B72FC"/>
    <w:rsid w:val="29A7085B"/>
    <w:rsid w:val="2A6D2905"/>
    <w:rsid w:val="2AE15ECD"/>
    <w:rsid w:val="2B2D6084"/>
    <w:rsid w:val="2C227F47"/>
    <w:rsid w:val="2C7C2A37"/>
    <w:rsid w:val="2CE32BFE"/>
    <w:rsid w:val="2D1A1C9E"/>
    <w:rsid w:val="2FC4482D"/>
    <w:rsid w:val="303117DB"/>
    <w:rsid w:val="30D46BE8"/>
    <w:rsid w:val="30F266E8"/>
    <w:rsid w:val="31C97497"/>
    <w:rsid w:val="334C5F6F"/>
    <w:rsid w:val="336F1312"/>
    <w:rsid w:val="34550DA8"/>
    <w:rsid w:val="34CC5753"/>
    <w:rsid w:val="35BD21E3"/>
    <w:rsid w:val="39A61E7B"/>
    <w:rsid w:val="3A2F1505"/>
    <w:rsid w:val="3C517862"/>
    <w:rsid w:val="3CD5559A"/>
    <w:rsid w:val="3D8D4D48"/>
    <w:rsid w:val="3F090527"/>
    <w:rsid w:val="429018D4"/>
    <w:rsid w:val="44585A5F"/>
    <w:rsid w:val="44C914C1"/>
    <w:rsid w:val="4674794D"/>
    <w:rsid w:val="48B4229C"/>
    <w:rsid w:val="49D554C2"/>
    <w:rsid w:val="49F605F0"/>
    <w:rsid w:val="4C3E2FE3"/>
    <w:rsid w:val="4D720333"/>
    <w:rsid w:val="4D8977AD"/>
    <w:rsid w:val="4F9D0864"/>
    <w:rsid w:val="4FA21793"/>
    <w:rsid w:val="50DA6252"/>
    <w:rsid w:val="5198563B"/>
    <w:rsid w:val="51F0435C"/>
    <w:rsid w:val="52F85BEB"/>
    <w:rsid w:val="542235FA"/>
    <w:rsid w:val="546841A3"/>
    <w:rsid w:val="54C93EAE"/>
    <w:rsid w:val="5A533E97"/>
    <w:rsid w:val="5B5319B5"/>
    <w:rsid w:val="5BAE4465"/>
    <w:rsid w:val="5D736A1E"/>
    <w:rsid w:val="5DD860CE"/>
    <w:rsid w:val="5EE3328E"/>
    <w:rsid w:val="5F4C46C4"/>
    <w:rsid w:val="60784709"/>
    <w:rsid w:val="609A76DC"/>
    <w:rsid w:val="61D167EA"/>
    <w:rsid w:val="62E4724B"/>
    <w:rsid w:val="640706B4"/>
    <w:rsid w:val="64585681"/>
    <w:rsid w:val="668F13CC"/>
    <w:rsid w:val="670052D9"/>
    <w:rsid w:val="69A3235C"/>
    <w:rsid w:val="6C6D4EB8"/>
    <w:rsid w:val="6DB7377A"/>
    <w:rsid w:val="6DE4606D"/>
    <w:rsid w:val="6E337118"/>
    <w:rsid w:val="6F6E7EB5"/>
    <w:rsid w:val="6FA0762A"/>
    <w:rsid w:val="736D0E32"/>
    <w:rsid w:val="74746642"/>
    <w:rsid w:val="751B6611"/>
    <w:rsid w:val="768E239A"/>
    <w:rsid w:val="78D84194"/>
    <w:rsid w:val="79BB701F"/>
    <w:rsid w:val="79BF3E79"/>
    <w:rsid w:val="7B210974"/>
    <w:rsid w:val="7D0F0FA3"/>
    <w:rsid w:val="7E52364A"/>
    <w:rsid w:val="7F940E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87"/>
    <w:pPr>
      <w:widowControl w:val="0"/>
      <w:jc w:val="both"/>
    </w:pPr>
    <w:rPr>
      <w:rFonts w:cs="Calibri"/>
      <w:szCs w:val="21"/>
    </w:rPr>
  </w:style>
  <w:style w:type="paragraph" w:styleId="Heading1">
    <w:name w:val="heading 1"/>
    <w:basedOn w:val="Normal"/>
    <w:next w:val="Normal"/>
    <w:link w:val="Heading1Char"/>
    <w:uiPriority w:val="99"/>
    <w:qFormat/>
    <w:rsid w:val="009F588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9F5887"/>
    <w:pPr>
      <w:keepNext/>
      <w:keepLines/>
      <w:spacing w:before="260" w:after="260" w:line="416" w:lineRule="auto"/>
      <w:outlineLvl w:val="1"/>
    </w:pPr>
    <w:rPr>
      <w:rFonts w:ascii="Calibri Light" w:hAnsi="Calibri Light" w:cs="Calibri Light"/>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B6A"/>
    <w:rPr>
      <w:b/>
      <w:bCs/>
      <w:kern w:val="44"/>
      <w:sz w:val="44"/>
      <w:szCs w:val="44"/>
    </w:rPr>
  </w:style>
  <w:style w:type="character" w:customStyle="1" w:styleId="Heading2Char">
    <w:name w:val="Heading 2 Char"/>
    <w:basedOn w:val="DefaultParagraphFont"/>
    <w:link w:val="Heading2"/>
    <w:uiPriority w:val="99"/>
    <w:semiHidden/>
    <w:locked/>
    <w:rsid w:val="00B96B6A"/>
    <w:rPr>
      <w:rFonts w:ascii="Cambria" w:eastAsia="宋体" w:hAnsi="Cambria" w:cs="Cambria"/>
      <w:b/>
      <w:bCs/>
      <w:sz w:val="32"/>
      <w:szCs w:val="32"/>
    </w:rPr>
  </w:style>
  <w:style w:type="paragraph" w:styleId="CommentText">
    <w:name w:val="annotation text"/>
    <w:basedOn w:val="Normal"/>
    <w:link w:val="CommentTextChar"/>
    <w:uiPriority w:val="99"/>
    <w:semiHidden/>
    <w:rsid w:val="009F5887"/>
    <w:pPr>
      <w:jc w:val="left"/>
    </w:pPr>
  </w:style>
  <w:style w:type="character" w:customStyle="1" w:styleId="CommentTextChar">
    <w:name w:val="Comment Text Char"/>
    <w:basedOn w:val="DefaultParagraphFont"/>
    <w:link w:val="CommentText"/>
    <w:uiPriority w:val="99"/>
    <w:locked/>
    <w:rsid w:val="009F5887"/>
    <w:rPr>
      <w:kern w:val="2"/>
      <w:sz w:val="24"/>
      <w:szCs w:val="24"/>
    </w:rPr>
  </w:style>
  <w:style w:type="paragraph" w:styleId="BalloonText">
    <w:name w:val="Balloon Text"/>
    <w:basedOn w:val="Normal"/>
    <w:link w:val="BalloonTextChar"/>
    <w:uiPriority w:val="99"/>
    <w:semiHidden/>
    <w:rsid w:val="009F5887"/>
    <w:rPr>
      <w:sz w:val="18"/>
      <w:szCs w:val="18"/>
    </w:rPr>
  </w:style>
  <w:style w:type="character" w:customStyle="1" w:styleId="BalloonTextChar">
    <w:name w:val="Balloon Text Char"/>
    <w:basedOn w:val="DefaultParagraphFont"/>
    <w:link w:val="BalloonText"/>
    <w:uiPriority w:val="99"/>
    <w:locked/>
    <w:rsid w:val="009F5887"/>
    <w:rPr>
      <w:kern w:val="2"/>
      <w:sz w:val="18"/>
      <w:szCs w:val="18"/>
    </w:rPr>
  </w:style>
  <w:style w:type="paragraph" w:styleId="Footer">
    <w:name w:val="footer"/>
    <w:basedOn w:val="Normal"/>
    <w:link w:val="FooterChar"/>
    <w:uiPriority w:val="99"/>
    <w:rsid w:val="009F588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96B6A"/>
    <w:rPr>
      <w:sz w:val="18"/>
      <w:szCs w:val="18"/>
    </w:rPr>
  </w:style>
  <w:style w:type="paragraph" w:styleId="Header">
    <w:name w:val="header"/>
    <w:basedOn w:val="Normal"/>
    <w:link w:val="HeaderChar"/>
    <w:uiPriority w:val="99"/>
    <w:rsid w:val="009F5887"/>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B96B6A"/>
    <w:rPr>
      <w:sz w:val="18"/>
      <w:szCs w:val="18"/>
    </w:rPr>
  </w:style>
  <w:style w:type="paragraph" w:styleId="TOC1">
    <w:name w:val="toc 1"/>
    <w:basedOn w:val="Normal"/>
    <w:next w:val="Normal"/>
    <w:autoRedefine/>
    <w:uiPriority w:val="99"/>
    <w:semiHidden/>
    <w:rsid w:val="009F5887"/>
    <w:pPr>
      <w:tabs>
        <w:tab w:val="right" w:leader="dot" w:pos="8619"/>
      </w:tabs>
      <w:spacing w:line="360" w:lineRule="auto"/>
    </w:pPr>
    <w:rPr>
      <w:rFonts w:ascii="宋体" w:hAnsi="宋体" w:cs="宋体"/>
      <w:b/>
      <w:bCs/>
      <w:kern w:val="44"/>
    </w:rPr>
  </w:style>
  <w:style w:type="paragraph" w:styleId="TOC2">
    <w:name w:val="toc 2"/>
    <w:basedOn w:val="Normal"/>
    <w:next w:val="Normal"/>
    <w:autoRedefine/>
    <w:uiPriority w:val="99"/>
    <w:semiHidden/>
    <w:rsid w:val="009F5887"/>
    <w:pPr>
      <w:ind w:leftChars="200" w:left="420"/>
    </w:pPr>
  </w:style>
  <w:style w:type="paragraph" w:styleId="NormalWeb">
    <w:name w:val="Normal (Web)"/>
    <w:basedOn w:val="Normal"/>
    <w:uiPriority w:val="99"/>
    <w:rsid w:val="009F5887"/>
    <w:pPr>
      <w:widowControl/>
      <w:spacing w:before="100" w:beforeAutospacing="1" w:after="100" w:afterAutospacing="1"/>
      <w:jc w:val="left"/>
    </w:pPr>
    <w:rPr>
      <w:rFonts w:ascii="宋体" w:hAnsi="宋体" w:cs="宋体"/>
      <w:kern w:val="0"/>
      <w:sz w:val="20"/>
      <w:szCs w:val="20"/>
    </w:rPr>
  </w:style>
  <w:style w:type="paragraph" w:styleId="CommentSubject">
    <w:name w:val="annotation subject"/>
    <w:basedOn w:val="CommentText"/>
    <w:next w:val="CommentText"/>
    <w:link w:val="CommentSubjectChar"/>
    <w:uiPriority w:val="99"/>
    <w:semiHidden/>
    <w:rsid w:val="009F5887"/>
    <w:rPr>
      <w:b/>
      <w:bCs/>
    </w:rPr>
  </w:style>
  <w:style w:type="character" w:customStyle="1" w:styleId="CommentSubjectChar">
    <w:name w:val="Comment Subject Char"/>
    <w:basedOn w:val="CommentTextChar"/>
    <w:link w:val="CommentSubject"/>
    <w:uiPriority w:val="99"/>
    <w:locked/>
    <w:rsid w:val="009F5887"/>
    <w:rPr>
      <w:b/>
      <w:bCs/>
    </w:rPr>
  </w:style>
  <w:style w:type="character" w:styleId="Hyperlink">
    <w:name w:val="Hyperlink"/>
    <w:basedOn w:val="DefaultParagraphFont"/>
    <w:uiPriority w:val="99"/>
    <w:rsid w:val="009F5887"/>
    <w:rPr>
      <w:color w:val="auto"/>
      <w:u w:val="single"/>
    </w:rPr>
  </w:style>
  <w:style w:type="character" w:styleId="CommentReference">
    <w:name w:val="annotation reference"/>
    <w:basedOn w:val="DefaultParagraphFont"/>
    <w:uiPriority w:val="99"/>
    <w:semiHidden/>
    <w:rsid w:val="009F5887"/>
    <w:rPr>
      <w:sz w:val="21"/>
      <w:szCs w:val="21"/>
    </w:rPr>
  </w:style>
  <w:style w:type="paragraph" w:customStyle="1" w:styleId="Style2">
    <w:name w:val="_Style 2"/>
    <w:basedOn w:val="Normal"/>
    <w:uiPriority w:val="99"/>
    <w:rsid w:val="009F5887"/>
    <w:pPr>
      <w:ind w:firstLineChars="200" w:firstLine="420"/>
    </w:pPr>
  </w:style>
  <w:style w:type="paragraph" w:customStyle="1" w:styleId="Style4">
    <w:name w:val="_Style 4"/>
    <w:basedOn w:val="Normal"/>
    <w:uiPriority w:val="99"/>
    <w:rsid w:val="009F5887"/>
    <w:pPr>
      <w:ind w:firstLineChars="200" w:firstLine="420"/>
    </w:pPr>
  </w:style>
  <w:style w:type="paragraph" w:customStyle="1" w:styleId="Style1">
    <w:name w:val="_Style 1"/>
    <w:basedOn w:val="Normal"/>
    <w:uiPriority w:val="99"/>
    <w:rsid w:val="009F5887"/>
    <w:pPr>
      <w:ind w:firstLineChars="200" w:firstLine="420"/>
    </w:pPr>
  </w:style>
  <w:style w:type="paragraph" w:customStyle="1" w:styleId="Style8">
    <w:name w:val="_Style 8"/>
    <w:basedOn w:val="Normal"/>
    <w:uiPriority w:val="99"/>
    <w:rsid w:val="009F5887"/>
    <w:pPr>
      <w:ind w:firstLineChars="200" w:firstLine="420"/>
    </w:pPr>
  </w:style>
  <w:style w:type="paragraph" w:styleId="ListParagraph">
    <w:name w:val="List Paragraph"/>
    <w:basedOn w:val="Normal"/>
    <w:uiPriority w:val="99"/>
    <w:qFormat/>
    <w:rsid w:val="000C780A"/>
    <w:pPr>
      <w:widowControl/>
      <w:spacing w:line="360" w:lineRule="auto"/>
      <w:ind w:firstLineChars="200" w:firstLine="420"/>
      <w:jc w:val="left"/>
    </w:pPr>
    <w:rPr>
      <w:rFonts w:ascii="宋体" w:hAnsi="宋体" w:cs="宋体"/>
      <w:kern w:val="0"/>
      <w:sz w:val="24"/>
      <w:szCs w:val="24"/>
    </w:rPr>
  </w:style>
  <w:style w:type="character" w:styleId="PageNumber">
    <w:name w:val="page number"/>
    <w:basedOn w:val="DefaultParagraphFont"/>
    <w:uiPriority w:val="99"/>
    <w:locked/>
    <w:rsid w:val="003F05D0"/>
  </w:style>
  <w:style w:type="paragraph" w:styleId="Date">
    <w:name w:val="Date"/>
    <w:basedOn w:val="Normal"/>
    <w:next w:val="Normal"/>
    <w:link w:val="DateChar"/>
    <w:uiPriority w:val="99"/>
    <w:locked/>
    <w:rsid w:val="00FD732C"/>
    <w:pPr>
      <w:ind w:leftChars="2500" w:left="100"/>
    </w:pPr>
  </w:style>
  <w:style w:type="character" w:customStyle="1" w:styleId="DateChar">
    <w:name w:val="Date Char"/>
    <w:basedOn w:val="DefaultParagraphFont"/>
    <w:link w:val="Date"/>
    <w:uiPriority w:val="99"/>
    <w:semiHidden/>
    <w:rsid w:val="0094029B"/>
    <w:rPr>
      <w:rFonts w:cs="Calibri"/>
      <w:szCs w:val="21"/>
    </w:rPr>
  </w:style>
  <w:style w:type="character" w:customStyle="1" w:styleId="CharChar1">
    <w:name w:val="Char Char1"/>
    <w:basedOn w:val="DefaultParagraphFont"/>
    <w:uiPriority w:val="99"/>
    <w:locked/>
    <w:rsid w:val="00FD732C"/>
    <w:rPr>
      <w:rFonts w:eastAsia="宋体"/>
      <w:kern w:val="2"/>
      <w:sz w:val="18"/>
      <w:szCs w:val="18"/>
      <w:lang w:val="en-US" w:eastAsia="zh-CN"/>
    </w:rPr>
  </w:style>
</w:styles>
</file>

<file path=word/webSettings.xml><?xml version="1.0" encoding="utf-8"?>
<w:webSettings xmlns:r="http://schemas.openxmlformats.org/officeDocument/2006/relationships" xmlns:w="http://schemas.openxmlformats.org/wordprocessingml/2006/main">
  <w:divs>
    <w:div w:id="685711256">
      <w:marLeft w:val="0"/>
      <w:marRight w:val="0"/>
      <w:marTop w:val="0"/>
      <w:marBottom w:val="0"/>
      <w:divBdr>
        <w:top w:val="none" w:sz="0" w:space="0" w:color="auto"/>
        <w:left w:val="none" w:sz="0" w:space="0" w:color="auto"/>
        <w:bottom w:val="none" w:sz="0" w:space="0" w:color="auto"/>
        <w:right w:val="none" w:sz="0" w:space="0" w:color="auto"/>
      </w:divBdr>
      <w:divsChild>
        <w:div w:id="685711259">
          <w:marLeft w:val="0"/>
          <w:marRight w:val="0"/>
          <w:marTop w:val="0"/>
          <w:marBottom w:val="0"/>
          <w:divBdr>
            <w:top w:val="none" w:sz="0" w:space="0" w:color="auto"/>
            <w:left w:val="none" w:sz="0" w:space="0" w:color="auto"/>
            <w:bottom w:val="none" w:sz="0" w:space="0" w:color="auto"/>
            <w:right w:val="none" w:sz="0" w:space="0" w:color="auto"/>
          </w:divBdr>
          <w:divsChild>
            <w:div w:id="685711254">
              <w:marLeft w:val="0"/>
              <w:marRight w:val="0"/>
              <w:marTop w:val="0"/>
              <w:marBottom w:val="0"/>
              <w:divBdr>
                <w:top w:val="none" w:sz="0" w:space="0" w:color="auto"/>
                <w:left w:val="none" w:sz="0" w:space="0" w:color="auto"/>
                <w:bottom w:val="none" w:sz="0" w:space="0" w:color="auto"/>
                <w:right w:val="none" w:sz="0" w:space="0" w:color="auto"/>
              </w:divBdr>
              <w:divsChild>
                <w:div w:id="685711264">
                  <w:marLeft w:val="0"/>
                  <w:marRight w:val="0"/>
                  <w:marTop w:val="0"/>
                  <w:marBottom w:val="0"/>
                  <w:divBdr>
                    <w:top w:val="none" w:sz="0" w:space="0" w:color="auto"/>
                    <w:left w:val="none" w:sz="0" w:space="0" w:color="auto"/>
                    <w:bottom w:val="none" w:sz="0" w:space="0" w:color="auto"/>
                    <w:right w:val="none" w:sz="0" w:space="0" w:color="auto"/>
                  </w:divBdr>
                  <w:divsChild>
                    <w:div w:id="685711257">
                      <w:marLeft w:val="0"/>
                      <w:marRight w:val="0"/>
                      <w:marTop w:val="0"/>
                      <w:marBottom w:val="0"/>
                      <w:divBdr>
                        <w:top w:val="none" w:sz="0" w:space="0" w:color="auto"/>
                        <w:left w:val="none" w:sz="0" w:space="0" w:color="auto"/>
                        <w:bottom w:val="none" w:sz="0" w:space="0" w:color="auto"/>
                        <w:right w:val="none" w:sz="0" w:space="0" w:color="auto"/>
                      </w:divBdr>
                      <w:divsChild>
                        <w:div w:id="685711260">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sChild>
            </w:div>
          </w:divsChild>
        </w:div>
      </w:divsChild>
    </w:div>
    <w:div w:id="685711261">
      <w:marLeft w:val="0"/>
      <w:marRight w:val="0"/>
      <w:marTop w:val="0"/>
      <w:marBottom w:val="0"/>
      <w:divBdr>
        <w:top w:val="none" w:sz="0" w:space="0" w:color="auto"/>
        <w:left w:val="none" w:sz="0" w:space="0" w:color="auto"/>
        <w:bottom w:val="none" w:sz="0" w:space="0" w:color="auto"/>
        <w:right w:val="none" w:sz="0" w:space="0" w:color="auto"/>
      </w:divBdr>
      <w:divsChild>
        <w:div w:id="685711270">
          <w:marLeft w:val="0"/>
          <w:marRight w:val="0"/>
          <w:marTop w:val="0"/>
          <w:marBottom w:val="0"/>
          <w:divBdr>
            <w:top w:val="none" w:sz="0" w:space="0" w:color="auto"/>
            <w:left w:val="none" w:sz="0" w:space="0" w:color="auto"/>
            <w:bottom w:val="none" w:sz="0" w:space="0" w:color="auto"/>
            <w:right w:val="none" w:sz="0" w:space="0" w:color="auto"/>
          </w:divBdr>
          <w:divsChild>
            <w:div w:id="685711258">
              <w:marLeft w:val="0"/>
              <w:marRight w:val="0"/>
              <w:marTop w:val="0"/>
              <w:marBottom w:val="0"/>
              <w:divBdr>
                <w:top w:val="none" w:sz="0" w:space="0" w:color="auto"/>
                <w:left w:val="none" w:sz="0" w:space="0" w:color="auto"/>
                <w:bottom w:val="none" w:sz="0" w:space="0" w:color="auto"/>
                <w:right w:val="none" w:sz="0" w:space="0" w:color="auto"/>
              </w:divBdr>
              <w:divsChild>
                <w:div w:id="685711269">
                  <w:marLeft w:val="0"/>
                  <w:marRight w:val="0"/>
                  <w:marTop w:val="0"/>
                  <w:marBottom w:val="0"/>
                  <w:divBdr>
                    <w:top w:val="none" w:sz="0" w:space="0" w:color="auto"/>
                    <w:left w:val="none" w:sz="0" w:space="0" w:color="auto"/>
                    <w:bottom w:val="none" w:sz="0" w:space="0" w:color="auto"/>
                    <w:right w:val="none" w:sz="0" w:space="0" w:color="auto"/>
                  </w:divBdr>
                  <w:divsChild>
                    <w:div w:id="685711267">
                      <w:marLeft w:val="0"/>
                      <w:marRight w:val="0"/>
                      <w:marTop w:val="0"/>
                      <w:marBottom w:val="0"/>
                      <w:divBdr>
                        <w:top w:val="none" w:sz="0" w:space="0" w:color="auto"/>
                        <w:left w:val="none" w:sz="0" w:space="0" w:color="auto"/>
                        <w:bottom w:val="none" w:sz="0" w:space="0" w:color="auto"/>
                        <w:right w:val="none" w:sz="0" w:space="0" w:color="auto"/>
                      </w:divBdr>
                      <w:divsChild>
                        <w:div w:id="685711253">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sChild>
            </w:div>
          </w:divsChild>
        </w:div>
      </w:divsChild>
    </w:div>
    <w:div w:id="685711262">
      <w:marLeft w:val="0"/>
      <w:marRight w:val="0"/>
      <w:marTop w:val="0"/>
      <w:marBottom w:val="0"/>
      <w:divBdr>
        <w:top w:val="none" w:sz="0" w:space="0" w:color="auto"/>
        <w:left w:val="none" w:sz="0" w:space="0" w:color="auto"/>
        <w:bottom w:val="none" w:sz="0" w:space="0" w:color="auto"/>
        <w:right w:val="none" w:sz="0" w:space="0" w:color="auto"/>
      </w:divBdr>
      <w:divsChild>
        <w:div w:id="685711266">
          <w:marLeft w:val="0"/>
          <w:marRight w:val="0"/>
          <w:marTop w:val="0"/>
          <w:marBottom w:val="0"/>
          <w:divBdr>
            <w:top w:val="none" w:sz="0" w:space="0" w:color="auto"/>
            <w:left w:val="none" w:sz="0" w:space="0" w:color="auto"/>
            <w:bottom w:val="none" w:sz="0" w:space="0" w:color="auto"/>
            <w:right w:val="none" w:sz="0" w:space="0" w:color="auto"/>
          </w:divBdr>
          <w:divsChild>
            <w:div w:id="685711255">
              <w:marLeft w:val="0"/>
              <w:marRight w:val="0"/>
              <w:marTop w:val="0"/>
              <w:marBottom w:val="0"/>
              <w:divBdr>
                <w:top w:val="none" w:sz="0" w:space="0" w:color="auto"/>
                <w:left w:val="none" w:sz="0" w:space="0" w:color="auto"/>
                <w:bottom w:val="none" w:sz="0" w:space="0" w:color="auto"/>
                <w:right w:val="none" w:sz="0" w:space="0" w:color="auto"/>
              </w:divBdr>
              <w:divsChild>
                <w:div w:id="685711263">
                  <w:marLeft w:val="0"/>
                  <w:marRight w:val="0"/>
                  <w:marTop w:val="0"/>
                  <w:marBottom w:val="0"/>
                  <w:divBdr>
                    <w:top w:val="none" w:sz="0" w:space="0" w:color="auto"/>
                    <w:left w:val="none" w:sz="0" w:space="0" w:color="auto"/>
                    <w:bottom w:val="none" w:sz="0" w:space="0" w:color="auto"/>
                    <w:right w:val="none" w:sz="0" w:space="0" w:color="auto"/>
                  </w:divBdr>
                  <w:divsChild>
                    <w:div w:id="685711265">
                      <w:marLeft w:val="0"/>
                      <w:marRight w:val="0"/>
                      <w:marTop w:val="0"/>
                      <w:marBottom w:val="0"/>
                      <w:divBdr>
                        <w:top w:val="none" w:sz="0" w:space="0" w:color="auto"/>
                        <w:left w:val="none" w:sz="0" w:space="0" w:color="auto"/>
                        <w:bottom w:val="none" w:sz="0" w:space="0" w:color="auto"/>
                        <w:right w:val="none" w:sz="0" w:space="0" w:color="auto"/>
                      </w:divBdr>
                      <w:divsChild>
                        <w:div w:id="685711268">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sChild>
            </w:div>
          </w:divsChild>
        </w:div>
      </w:divsChild>
    </w:div>
    <w:div w:id="685711271">
      <w:marLeft w:val="0"/>
      <w:marRight w:val="0"/>
      <w:marTop w:val="0"/>
      <w:marBottom w:val="0"/>
      <w:divBdr>
        <w:top w:val="none" w:sz="0" w:space="0" w:color="auto"/>
        <w:left w:val="none" w:sz="0" w:space="0" w:color="auto"/>
        <w:bottom w:val="none" w:sz="0" w:space="0" w:color="auto"/>
        <w:right w:val="none" w:sz="0" w:space="0" w:color="auto"/>
      </w:divBdr>
    </w:div>
    <w:div w:id="685711275">
      <w:marLeft w:val="0"/>
      <w:marRight w:val="0"/>
      <w:marTop w:val="0"/>
      <w:marBottom w:val="0"/>
      <w:divBdr>
        <w:top w:val="none" w:sz="0" w:space="0" w:color="auto"/>
        <w:left w:val="none" w:sz="0" w:space="0" w:color="auto"/>
        <w:bottom w:val="none" w:sz="0" w:space="0" w:color="auto"/>
        <w:right w:val="none" w:sz="0" w:space="0" w:color="auto"/>
      </w:divBdr>
      <w:divsChild>
        <w:div w:id="685711272">
          <w:marLeft w:val="0"/>
          <w:marRight w:val="0"/>
          <w:marTop w:val="0"/>
          <w:marBottom w:val="0"/>
          <w:divBdr>
            <w:top w:val="none" w:sz="0" w:space="0" w:color="auto"/>
            <w:left w:val="none" w:sz="0" w:space="0" w:color="auto"/>
            <w:bottom w:val="none" w:sz="0" w:space="0" w:color="auto"/>
            <w:right w:val="none" w:sz="0" w:space="0" w:color="auto"/>
          </w:divBdr>
          <w:divsChild>
            <w:div w:id="685711273">
              <w:marLeft w:val="0"/>
              <w:marRight w:val="0"/>
              <w:marTop w:val="0"/>
              <w:marBottom w:val="0"/>
              <w:divBdr>
                <w:top w:val="single" w:sz="12" w:space="0" w:color="EEEEEE"/>
                <w:left w:val="single" w:sz="12" w:space="0" w:color="EEEEEE"/>
                <w:bottom w:val="single" w:sz="12" w:space="0" w:color="EEEEEE"/>
                <w:right w:val="single" w:sz="12" w:space="0" w:color="EEEEEE"/>
              </w:divBdr>
              <w:divsChild>
                <w:div w:id="6857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11278">
      <w:marLeft w:val="0"/>
      <w:marRight w:val="0"/>
      <w:marTop w:val="0"/>
      <w:marBottom w:val="0"/>
      <w:divBdr>
        <w:top w:val="none" w:sz="0" w:space="0" w:color="auto"/>
        <w:left w:val="none" w:sz="0" w:space="0" w:color="auto"/>
        <w:bottom w:val="none" w:sz="0" w:space="0" w:color="auto"/>
        <w:right w:val="none" w:sz="0" w:space="0" w:color="auto"/>
      </w:divBdr>
      <w:divsChild>
        <w:div w:id="685711276">
          <w:marLeft w:val="0"/>
          <w:marRight w:val="0"/>
          <w:marTop w:val="0"/>
          <w:marBottom w:val="0"/>
          <w:divBdr>
            <w:top w:val="none" w:sz="0" w:space="0" w:color="auto"/>
            <w:left w:val="none" w:sz="0" w:space="0" w:color="auto"/>
            <w:bottom w:val="none" w:sz="0" w:space="0" w:color="auto"/>
            <w:right w:val="none" w:sz="0" w:space="0" w:color="auto"/>
          </w:divBdr>
          <w:divsChild>
            <w:div w:id="685711277">
              <w:marLeft w:val="0"/>
              <w:marRight w:val="0"/>
              <w:marTop w:val="0"/>
              <w:marBottom w:val="0"/>
              <w:divBdr>
                <w:top w:val="single" w:sz="12" w:space="0" w:color="EEEEEE"/>
                <w:left w:val="single" w:sz="12" w:space="0" w:color="EEEEEE"/>
                <w:bottom w:val="single" w:sz="12" w:space="0" w:color="EEEEEE"/>
                <w:right w:val="single" w:sz="12" w:space="0" w:color="EEEEEE"/>
              </w:divBdr>
              <w:divsChild>
                <w:div w:id="68571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11280">
      <w:marLeft w:val="0"/>
      <w:marRight w:val="0"/>
      <w:marTop w:val="0"/>
      <w:marBottom w:val="0"/>
      <w:divBdr>
        <w:top w:val="none" w:sz="0" w:space="0" w:color="auto"/>
        <w:left w:val="none" w:sz="0" w:space="0" w:color="auto"/>
        <w:bottom w:val="none" w:sz="0" w:space="0" w:color="auto"/>
        <w:right w:val="none" w:sz="0" w:space="0" w:color="auto"/>
      </w:divBdr>
    </w:div>
    <w:div w:id="6857112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186</TotalTime>
  <Pages>9</Pages>
  <Words>747</Words>
  <Characters>4263</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shenqinwei</dc:creator>
  <cp:keywords/>
  <dc:description/>
  <cp:lastModifiedBy>梁明明</cp:lastModifiedBy>
  <cp:revision>26</cp:revision>
  <cp:lastPrinted>2019-08-23T14:15:00Z</cp:lastPrinted>
  <dcterms:created xsi:type="dcterms:W3CDTF">2019-01-30T09:13:00Z</dcterms:created>
  <dcterms:modified xsi:type="dcterms:W3CDTF">2019-12-24T09:42:00Z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