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topLinePunct w:val="0"/>
        <w:spacing w:line="570" w:lineRule="exact"/>
        <w:jc w:val="center"/>
        <w:rPr>
          <w:rFonts w:hint="eastAsia" w:eastAsia="方正小标宋简体"/>
          <w:spacing w:val="-6"/>
          <w:sz w:val="44"/>
          <w:szCs w:val="44"/>
        </w:rPr>
      </w:pPr>
      <w:r>
        <w:rPr>
          <w:rFonts w:hint="eastAsia" w:eastAsia="方正小标宋简体"/>
          <w:spacing w:val="-6"/>
          <w:sz w:val="44"/>
          <w:szCs w:val="44"/>
        </w:rPr>
        <w:t>玉林市人民政府关于调整九洲江涉粤桂（陆川）水库移民产业园段河道管理范围的公告</w:t>
      </w:r>
    </w:p>
    <w:p>
      <w:pPr>
        <w:pStyle w:val="2"/>
      </w:pPr>
    </w:p>
    <w:p>
      <w:pPr>
        <w:spacing w:line="600" w:lineRule="exact"/>
        <w:jc w:val="center"/>
        <w:rPr>
          <w:rFonts w:eastAsia="仿宋_GB2312"/>
        </w:rPr>
      </w:pPr>
      <w:bookmarkStart w:id="0" w:name="发文字号"/>
      <w:r>
        <w:rPr>
          <w:rFonts w:hint="eastAsia" w:ascii="仿宋_GB2312" w:eastAsia="仿宋_GB2312"/>
        </w:rPr>
        <w:t>玉政发〔</w:t>
      </w:r>
      <w:r>
        <w:rPr>
          <w:rFonts w:eastAsia="仿宋_GB2312"/>
        </w:rPr>
        <w:t>2024</w:t>
      </w:r>
      <w:r>
        <w:rPr>
          <w:rFonts w:hint="eastAsia" w:ascii="仿宋_GB2312" w:eastAsia="仿宋_GB2312"/>
        </w:rPr>
        <w:t>〕</w:t>
      </w:r>
      <w:r>
        <w:rPr>
          <w:rFonts w:eastAsia="仿宋_GB2312"/>
        </w:rPr>
        <w:t>5</w:t>
      </w:r>
      <w:r>
        <w:rPr>
          <w:rFonts w:hint="eastAsia" w:ascii="仿宋_GB2312" w:eastAsia="仿宋_GB2312"/>
        </w:rPr>
        <w:t>号</w:t>
      </w:r>
      <w:bookmarkEnd w:id="0"/>
    </w:p>
    <w:p>
      <w:pPr>
        <w:topLinePunct w:val="0"/>
        <w:spacing w:line="570" w:lineRule="exact"/>
        <w:ind w:firstLine="640" w:firstLineChars="200"/>
        <w:outlineLvl w:val="1"/>
        <w:rPr>
          <w:rFonts w:eastAsia="仿宋_GB2312"/>
        </w:rPr>
      </w:pPr>
      <w:r>
        <w:rPr>
          <w:rFonts w:eastAsia="仿宋_GB2312"/>
        </w:rPr>
        <w:t>为进一步落实河湖管理保护责任，强化水域岸线空间管控，保障行洪及水利工程安全，保护河道生态环境，根据《中华人民共和国水法》《中华人民共和国防洪法》《中华人民共和国河道管理条例》</w:t>
      </w:r>
      <w:r>
        <w:rPr>
          <w:rFonts w:hint="eastAsia" w:eastAsia="仿宋_GB2312"/>
        </w:rPr>
        <w:t>，以及</w:t>
      </w:r>
      <w:r>
        <w:rPr>
          <w:rFonts w:eastAsia="仿宋_GB2312"/>
        </w:rPr>
        <w:t>《广西壮族自治区河道管理规定》《广西壮族自治区水利工程管理条例》等法规规定，按照《自治区河长制办公室关于印发广西江河湖库管理范围划定指导意见的通知》（桂河长办〔2019〕45号）文件要求，</w:t>
      </w:r>
      <w:r>
        <w:rPr>
          <w:rFonts w:hint="eastAsia" w:eastAsia="仿宋_GB2312"/>
        </w:rPr>
        <w:t>结合</w:t>
      </w:r>
      <w:r>
        <w:rPr>
          <w:rFonts w:eastAsia="仿宋_GB2312"/>
        </w:rPr>
        <w:t>九洲江涉粤桂（陆川）水库移民产业园段河道管理实际需要，对原河道管理范围进行局部勘误，</w:t>
      </w:r>
      <w:r>
        <w:rPr>
          <w:rFonts w:hint="eastAsia" w:eastAsia="仿宋_GB2312"/>
        </w:rPr>
        <w:t>为</w:t>
      </w:r>
      <w:r>
        <w:rPr>
          <w:rFonts w:eastAsia="仿宋_GB2312"/>
        </w:rPr>
        <w:t>保障河道行洪安全及河势稳定，我市对九洲江涉粤桂（陆川）水库移民产业园段河道管理范围进行了调整，现将调整后的河道管理范围划定成果予以公告。</w:t>
      </w:r>
    </w:p>
    <w:p>
      <w:pPr>
        <w:topLinePunct w:val="0"/>
        <w:spacing w:line="590" w:lineRule="exact"/>
        <w:ind w:firstLine="640" w:firstLineChars="200"/>
        <w:outlineLvl w:val="1"/>
        <w:rPr>
          <w:rFonts w:ascii="黑体" w:hAnsi="黑体" w:eastAsia="黑体" w:cs="黑体"/>
        </w:rPr>
      </w:pPr>
      <w:r>
        <w:rPr>
          <w:rFonts w:hint="eastAsia" w:ascii="黑体" w:hAnsi="黑体" w:eastAsia="黑体" w:cs="黑体"/>
        </w:rPr>
        <w:t>一、划定依据</w:t>
      </w:r>
      <w:bookmarkStart w:id="1" w:name="_GoBack"/>
      <w:bookmarkEnd w:id="1"/>
    </w:p>
    <w:p>
      <w:pPr>
        <w:topLinePunct w:val="0"/>
        <w:spacing w:line="590" w:lineRule="exact"/>
        <w:ind w:firstLine="640" w:firstLineChars="200"/>
        <w:outlineLvl w:val="1"/>
        <w:rPr>
          <w:rFonts w:eastAsia="仿宋_GB2312"/>
        </w:rPr>
      </w:pPr>
      <w:r>
        <w:rPr>
          <w:rFonts w:eastAsia="仿宋_GB2312"/>
        </w:rPr>
        <w:t>依据《中华人民共和国水法》《中华人民共和国防洪法》《中华人民共和国河道管理条例》《中华人民共和国土地管理法》，以及《广西壮族自治区河道管理规定》《广西壮族自治区水利工程管理条例》等法律法规。依据自治区河长制办公室制定的《广西江河湖库管理范围划定指导意见（试行）》《广西江河湖库管理范围界桩公告牌设立工作指南（试行）》《广西江河湖库管理范围划定及水域岸线功能区划电子标绘工作指南（试行）》等文件。</w:t>
      </w:r>
    </w:p>
    <w:p>
      <w:pPr>
        <w:topLinePunct w:val="0"/>
        <w:spacing w:line="590" w:lineRule="exact"/>
        <w:ind w:firstLine="640" w:firstLineChars="200"/>
        <w:outlineLvl w:val="1"/>
        <w:rPr>
          <w:rFonts w:ascii="黑体" w:hAnsi="黑体" w:eastAsia="黑体" w:cs="黑体"/>
        </w:rPr>
      </w:pPr>
      <w:r>
        <w:rPr>
          <w:rFonts w:ascii="黑体" w:hAnsi="黑体" w:eastAsia="黑体" w:cs="黑体"/>
        </w:rPr>
        <w:t>二、划定</w:t>
      </w:r>
      <w:r>
        <w:rPr>
          <w:rFonts w:hint="eastAsia" w:ascii="黑体" w:hAnsi="黑体" w:eastAsia="黑体" w:cs="黑体"/>
        </w:rPr>
        <w:t>方法</w:t>
      </w:r>
    </w:p>
    <w:p>
      <w:pPr>
        <w:topLinePunct w:val="0"/>
        <w:spacing w:line="590" w:lineRule="exact"/>
        <w:ind w:firstLine="640" w:firstLineChars="200"/>
        <w:outlineLvl w:val="1"/>
        <w:rPr>
          <w:rFonts w:eastAsia="仿宋_GB2312"/>
        </w:rPr>
      </w:pPr>
      <w:r>
        <w:rPr>
          <w:rFonts w:hint="eastAsia" w:eastAsia="仿宋_GB2312"/>
        </w:rPr>
        <w:t>水库库区管理范围划定方法如下：</w:t>
      </w:r>
    </w:p>
    <w:p>
      <w:pPr>
        <w:overflowPunct/>
        <w:topLinePunct w:val="0"/>
        <w:spacing w:line="590" w:lineRule="exact"/>
        <w:ind w:firstLine="640" w:firstLineChars="200"/>
        <w:textAlignment w:val="baseline"/>
        <w:rPr>
          <w:rFonts w:ascii="楷体_GB2312" w:hAnsi="楷体_GB2312" w:eastAsia="楷体_GB2312" w:cs="楷体_GB2312"/>
        </w:rPr>
      </w:pPr>
      <w:r>
        <w:rPr>
          <w:rFonts w:hint="eastAsia" w:ascii="楷体_GB2312" w:hAnsi="楷体_GB2312" w:eastAsia="楷体_GB2312" w:cs="楷体_GB2312"/>
        </w:rPr>
        <w:t>（一）有堤防或规划有堤防库区</w:t>
      </w:r>
    </w:p>
    <w:p>
      <w:pPr>
        <w:topLinePunct w:val="0"/>
        <w:spacing w:line="590" w:lineRule="exact"/>
        <w:ind w:firstLine="640" w:firstLineChars="200"/>
        <w:outlineLvl w:val="1"/>
        <w:rPr>
          <w:rFonts w:eastAsia="仿宋_GB2312"/>
        </w:rPr>
      </w:pPr>
      <w:r>
        <w:rPr>
          <w:rFonts w:hint="eastAsia" w:eastAsia="仿宋_GB2312"/>
        </w:rPr>
        <w:t>现状有堤防或规划有堤防库区，其管理范围划定可按照有堤防或规划有堤防河道管理范围划定方法进行。</w:t>
      </w:r>
    </w:p>
    <w:p>
      <w:pPr>
        <w:overflowPunct/>
        <w:topLinePunct w:val="0"/>
        <w:spacing w:line="590" w:lineRule="exact"/>
        <w:ind w:firstLine="640" w:firstLineChars="200"/>
        <w:textAlignment w:val="baseline"/>
        <w:rPr>
          <w:rFonts w:ascii="楷体_GB2312" w:hAnsi="楷体_GB2312" w:eastAsia="楷体_GB2312" w:cs="楷体_GB2312"/>
        </w:rPr>
      </w:pPr>
      <w:r>
        <w:rPr>
          <w:rFonts w:hint="eastAsia" w:ascii="楷体_GB2312" w:hAnsi="楷体_GB2312" w:eastAsia="楷体_GB2312" w:cs="楷体_GB2312"/>
        </w:rPr>
        <w:t>（二）现状无堤防且无规划堤防库区</w:t>
      </w:r>
    </w:p>
    <w:p>
      <w:pPr>
        <w:topLinePunct w:val="0"/>
        <w:spacing w:line="590" w:lineRule="exact"/>
        <w:ind w:firstLine="640" w:firstLineChars="200"/>
        <w:outlineLvl w:val="1"/>
        <w:rPr>
          <w:rFonts w:eastAsia="仿宋_GB2312"/>
        </w:rPr>
      </w:pPr>
      <w:r>
        <w:rPr>
          <w:rFonts w:hint="eastAsia" w:eastAsia="仿宋_GB2312"/>
        </w:rPr>
        <w:t>1.对于调节性能较差的河床式水库，其库区管理范围划定应采用水库的人口迁移线确定。</w:t>
      </w:r>
    </w:p>
    <w:p>
      <w:pPr>
        <w:topLinePunct w:val="0"/>
        <w:spacing w:line="590" w:lineRule="exact"/>
        <w:ind w:firstLine="640" w:firstLineChars="200"/>
        <w:outlineLvl w:val="1"/>
        <w:rPr>
          <w:rFonts w:eastAsia="仿宋_GB2312"/>
        </w:rPr>
      </w:pPr>
      <w:r>
        <w:rPr>
          <w:rFonts w:hint="eastAsia" w:eastAsia="仿宋_GB2312"/>
        </w:rPr>
        <w:t>2.对于具有年调节以上性能的水库，其库区管理范围应不低于水库的人口迁移线，有条件的可按照《广西壮族自治区水利工程管理条例》所明确的库区校核洪水位（包括库内岛屿）确定。</w:t>
      </w:r>
    </w:p>
    <w:p>
      <w:pPr>
        <w:topLinePunct w:val="0"/>
        <w:spacing w:line="590" w:lineRule="exact"/>
        <w:ind w:firstLine="640" w:firstLineChars="200"/>
        <w:outlineLvl w:val="1"/>
        <w:rPr>
          <w:rFonts w:ascii="黑体" w:hAnsi="黑体" w:eastAsia="黑体" w:cs="黑体"/>
        </w:rPr>
      </w:pPr>
      <w:r>
        <w:rPr>
          <w:rFonts w:ascii="黑体" w:hAnsi="黑体" w:eastAsia="黑体" w:cs="黑体"/>
        </w:rPr>
        <w:t>三、管理要求</w:t>
      </w:r>
    </w:p>
    <w:p>
      <w:pPr>
        <w:topLinePunct w:val="0"/>
        <w:spacing w:line="590" w:lineRule="exact"/>
        <w:ind w:firstLine="640" w:firstLineChars="200"/>
        <w:outlineLvl w:val="1"/>
        <w:rPr>
          <w:rFonts w:eastAsia="仿宋_GB2312"/>
        </w:rPr>
      </w:pPr>
      <w:r>
        <w:rPr>
          <w:rFonts w:eastAsia="仿宋_GB2312"/>
        </w:rPr>
        <w:t>禁止任何公民、法人和其他组织擅自在河道管理及保护范围内从事可能危及行洪、水质、水生态、水环境及水利工程安全的活动，违者将依法从严查处。</w:t>
      </w:r>
    </w:p>
    <w:p>
      <w:pPr>
        <w:topLinePunct w:val="0"/>
        <w:spacing w:line="590" w:lineRule="exact"/>
        <w:ind w:firstLine="640" w:firstLineChars="200"/>
        <w:outlineLvl w:val="1"/>
        <w:rPr>
          <w:rFonts w:ascii="黑体" w:hAnsi="黑体" w:eastAsia="黑体" w:cs="黑体"/>
        </w:rPr>
      </w:pPr>
      <w:r>
        <w:rPr>
          <w:rFonts w:ascii="黑体" w:hAnsi="黑体" w:eastAsia="黑体" w:cs="黑体"/>
        </w:rPr>
        <w:t>四、公告内容</w:t>
      </w:r>
    </w:p>
    <w:p>
      <w:pPr>
        <w:topLinePunct w:val="0"/>
        <w:spacing w:line="590" w:lineRule="exact"/>
        <w:ind w:firstLine="640" w:firstLineChars="200"/>
        <w:outlineLvl w:val="1"/>
        <w:rPr>
          <w:rFonts w:eastAsia="仿宋_GB2312"/>
        </w:rPr>
      </w:pPr>
      <w:r>
        <w:rPr>
          <w:rFonts w:eastAsia="仿宋_GB2312"/>
        </w:rPr>
        <w:t>九洲江涉粤桂（陆川）水库移民产业园段河道管理范围划定</w:t>
      </w:r>
      <w:r>
        <w:rPr>
          <w:rFonts w:hint="eastAsia" w:eastAsia="仿宋_GB2312"/>
        </w:rPr>
        <w:t>调整</w:t>
      </w:r>
      <w:r>
        <w:rPr>
          <w:rFonts w:eastAsia="仿宋_GB2312"/>
        </w:rPr>
        <w:t>成果</w:t>
      </w:r>
      <w:r>
        <w:rPr>
          <w:rFonts w:hint="eastAsia" w:eastAsia="仿宋_GB2312"/>
        </w:rPr>
        <w:t>。</w:t>
      </w:r>
    </w:p>
    <w:p>
      <w:pPr>
        <w:topLinePunct w:val="0"/>
        <w:spacing w:line="590" w:lineRule="exact"/>
        <w:ind w:left="1264" w:hanging="1280" w:hangingChars="400"/>
        <w:outlineLvl w:val="1"/>
        <w:rPr>
          <w:rFonts w:eastAsia="仿宋_GB2312"/>
        </w:rPr>
      </w:pPr>
    </w:p>
    <w:p>
      <w:pPr>
        <w:topLinePunct w:val="0"/>
        <w:spacing w:line="590" w:lineRule="exact"/>
        <w:ind w:left="1613" w:leftChars="304" w:hanging="640" w:hangingChars="200"/>
        <w:outlineLvl w:val="1"/>
        <w:rPr>
          <w:rFonts w:eastAsia="仿宋_GB2312"/>
        </w:rPr>
      </w:pPr>
      <w:r>
        <w:rPr>
          <w:rFonts w:eastAsia="仿宋_GB2312"/>
        </w:rPr>
        <w:t>附件：九洲江涉粤桂（陆川）水库移民产业园段河道管</w:t>
      </w:r>
      <w:r>
        <w:rPr>
          <w:rFonts w:hint="eastAsia" w:eastAsia="仿宋_GB2312"/>
        </w:rPr>
        <w:t xml:space="preserve">  </w:t>
      </w:r>
      <w:r>
        <w:rPr>
          <w:rFonts w:eastAsia="仿宋_GB2312"/>
        </w:rPr>
        <w:t>理范围划定</w:t>
      </w:r>
      <w:r>
        <w:rPr>
          <w:rFonts w:hint="eastAsia" w:eastAsia="仿宋_GB2312"/>
        </w:rPr>
        <w:t>调整</w:t>
      </w:r>
      <w:r>
        <w:rPr>
          <w:rFonts w:eastAsia="仿宋_GB2312"/>
        </w:rPr>
        <w:t>成果</w:t>
      </w:r>
    </w:p>
    <w:p>
      <w:pPr>
        <w:pStyle w:val="3"/>
        <w:widowControl w:val="0"/>
        <w:overflowPunct/>
        <w:topLinePunct w:val="0"/>
        <w:autoSpaceDE/>
        <w:autoSpaceDN/>
        <w:spacing w:before="0" w:after="0" w:line="590" w:lineRule="exact"/>
        <w:jc w:val="both"/>
        <w:rPr>
          <w:rFonts w:ascii="Times New Roman" w:hAnsi="Times New Roman" w:eastAsia="仿宋_GB2312" w:cs="Times New Roman"/>
          <w:kern w:val="2"/>
          <w:sz w:val="32"/>
          <w:szCs w:val="32"/>
          <w:lang w:eastAsia="zh-CN"/>
        </w:rPr>
      </w:pPr>
    </w:p>
    <w:p>
      <w:pPr>
        <w:pStyle w:val="4"/>
        <w:widowControl w:val="0"/>
        <w:spacing w:before="0" w:after="0" w:line="590" w:lineRule="exact"/>
        <w:jc w:val="both"/>
        <w:rPr>
          <w:sz w:val="32"/>
        </w:rPr>
      </w:pPr>
    </w:p>
    <w:p>
      <w:pPr>
        <w:pStyle w:val="4"/>
        <w:widowControl w:val="0"/>
        <w:spacing w:before="0" w:after="0" w:line="590" w:lineRule="exact"/>
        <w:jc w:val="both"/>
        <w:rPr>
          <w:sz w:val="32"/>
        </w:rPr>
      </w:pPr>
    </w:p>
    <w:p>
      <w:pPr>
        <w:pStyle w:val="3"/>
        <w:widowControl w:val="0"/>
        <w:tabs>
          <w:tab w:val="left" w:pos="7200"/>
        </w:tabs>
        <w:overflowPunct/>
        <w:topLinePunct w:val="0"/>
        <w:autoSpaceDE/>
        <w:autoSpaceDN/>
        <w:spacing w:before="0" w:after="0" w:line="590" w:lineRule="exact"/>
        <w:ind w:firstLine="5238" w:firstLineChars="1637"/>
        <w:jc w:val="both"/>
        <w:rPr>
          <w:rFonts w:ascii="Times New Roman" w:hAnsi="Times New Roman" w:eastAsia="仿宋_GB2312" w:cs="Times New Roman"/>
          <w:b w:val="0"/>
          <w:bCs w:val="0"/>
          <w:color w:val="auto"/>
          <w:kern w:val="2"/>
          <w:sz w:val="32"/>
          <w:szCs w:val="32"/>
          <w:lang w:eastAsia="zh-CN"/>
        </w:rPr>
      </w:pPr>
      <w:r>
        <w:rPr>
          <w:rFonts w:ascii="Times New Roman" w:hAnsi="Times New Roman" w:eastAsia="仿宋_GB2312" w:cs="Times New Roman"/>
          <w:b w:val="0"/>
          <w:bCs w:val="0"/>
          <w:color w:val="auto"/>
          <w:kern w:val="2"/>
          <w:sz w:val="32"/>
          <w:szCs w:val="32"/>
          <w:lang w:eastAsia="zh-CN"/>
        </w:rPr>
        <w:t>玉林市人民政府</w:t>
      </w:r>
    </w:p>
    <w:p>
      <w:pPr>
        <w:pStyle w:val="3"/>
        <w:widowControl w:val="0"/>
        <w:tabs>
          <w:tab w:val="left" w:pos="7560"/>
        </w:tabs>
        <w:overflowPunct/>
        <w:topLinePunct w:val="0"/>
        <w:autoSpaceDE/>
        <w:autoSpaceDN/>
        <w:spacing w:before="0" w:after="0" w:line="590" w:lineRule="exact"/>
        <w:ind w:firstLine="5120" w:firstLineChars="1600"/>
        <w:jc w:val="both"/>
        <w:rPr>
          <w:rFonts w:ascii="Times New Roman" w:hAnsi="Times New Roman" w:eastAsia="仿宋_GB2312" w:cs="Times New Roman"/>
          <w:b w:val="0"/>
          <w:bCs w:val="0"/>
          <w:color w:val="auto"/>
          <w:kern w:val="2"/>
          <w:sz w:val="32"/>
          <w:szCs w:val="32"/>
          <w:lang w:eastAsia="zh-CN"/>
        </w:rPr>
      </w:pPr>
      <w:r>
        <w:rPr>
          <w:rFonts w:ascii="Times New Roman" w:hAnsi="Times New Roman" w:eastAsia="仿宋_GB2312" w:cs="Times New Roman"/>
          <w:b w:val="0"/>
          <w:bCs w:val="0"/>
          <w:color w:val="auto"/>
          <w:kern w:val="2"/>
          <w:sz w:val="32"/>
          <w:szCs w:val="32"/>
          <w:lang w:eastAsia="zh-CN"/>
        </w:rPr>
        <w:t>2024年</w:t>
      </w:r>
      <w:r>
        <w:rPr>
          <w:rFonts w:hint="eastAsia" w:ascii="Times New Roman" w:hAnsi="Times New Roman" w:eastAsia="仿宋_GB2312" w:cs="Times New Roman"/>
          <w:b w:val="0"/>
          <w:bCs w:val="0"/>
          <w:color w:val="auto"/>
          <w:kern w:val="2"/>
          <w:sz w:val="32"/>
          <w:szCs w:val="32"/>
          <w:lang w:eastAsia="zh-CN"/>
        </w:rPr>
        <w:t>4</w:t>
      </w:r>
      <w:r>
        <w:rPr>
          <w:rFonts w:ascii="Times New Roman" w:hAnsi="Times New Roman" w:eastAsia="仿宋_GB2312" w:cs="Times New Roman"/>
          <w:b w:val="0"/>
          <w:bCs w:val="0"/>
          <w:color w:val="auto"/>
          <w:kern w:val="2"/>
          <w:sz w:val="32"/>
          <w:szCs w:val="32"/>
          <w:lang w:eastAsia="zh-CN"/>
        </w:rPr>
        <w:t>月</w:t>
      </w:r>
      <w:r>
        <w:rPr>
          <w:rFonts w:hint="eastAsia" w:ascii="Times New Roman" w:hAnsi="Times New Roman" w:eastAsia="仿宋_GB2312" w:cs="Times New Roman"/>
          <w:b w:val="0"/>
          <w:bCs w:val="0"/>
          <w:color w:val="auto"/>
          <w:kern w:val="2"/>
          <w:sz w:val="32"/>
          <w:szCs w:val="32"/>
          <w:lang w:eastAsia="zh-CN"/>
        </w:rPr>
        <w:t>29</w:t>
      </w:r>
      <w:r>
        <w:rPr>
          <w:rFonts w:ascii="Times New Roman" w:hAnsi="Times New Roman" w:eastAsia="仿宋_GB2312" w:cs="Times New Roman"/>
          <w:b w:val="0"/>
          <w:bCs w:val="0"/>
          <w:color w:val="auto"/>
          <w:kern w:val="2"/>
          <w:sz w:val="32"/>
          <w:szCs w:val="32"/>
          <w:lang w:eastAsia="zh-CN"/>
        </w:rPr>
        <w:t>日</w:t>
      </w:r>
    </w:p>
    <w:p>
      <w:pPr>
        <w:pStyle w:val="4"/>
        <w:widowControl w:val="0"/>
        <w:spacing w:before="0" w:after="0" w:line="590" w:lineRule="exact"/>
        <w:ind w:firstLine="640" w:firstLineChars="200"/>
        <w:jc w:val="both"/>
        <w:rPr>
          <w:rFonts w:ascii="Times New Roman" w:hAnsi="Times New Roman" w:eastAsia="仿宋_GB2312" w:cs="Times New Roman"/>
          <w:b w:val="0"/>
          <w:bCs w:val="0"/>
          <w:color w:val="auto"/>
          <w:kern w:val="2"/>
          <w:sz w:val="32"/>
        </w:rPr>
      </w:pPr>
      <w:r>
        <w:rPr>
          <w:rFonts w:ascii="Times New Roman" w:hAnsi="Times New Roman" w:eastAsia="仿宋_GB2312" w:cs="Times New Roman"/>
          <w:b w:val="0"/>
          <w:bCs w:val="0"/>
          <w:color w:val="auto"/>
          <w:kern w:val="2"/>
          <w:sz w:val="32"/>
        </w:rPr>
        <w:t>（此件公开发布）</w:t>
      </w:r>
    </w:p>
    <w:p>
      <w:pPr>
        <w:pStyle w:val="4"/>
        <w:jc w:val="both"/>
        <w:rPr>
          <w:rFonts w:ascii="黑体" w:hAnsi="黑体" w:eastAsia="黑体" w:cs="黑体"/>
          <w:b w:val="0"/>
          <w:bCs w:val="0"/>
          <w:color w:val="auto"/>
          <w:kern w:val="2"/>
          <w:sz w:val="32"/>
        </w:rPr>
      </w:pPr>
    </w:p>
    <w:p>
      <w:pPr>
        <w:pStyle w:val="4"/>
        <w:jc w:val="both"/>
        <w:rPr>
          <w:rFonts w:ascii="黑体" w:hAnsi="黑体" w:eastAsia="黑体" w:cs="黑体"/>
          <w:b w:val="0"/>
          <w:bCs w:val="0"/>
          <w:color w:val="auto"/>
          <w:kern w:val="2"/>
          <w:sz w:val="32"/>
        </w:rPr>
      </w:pPr>
    </w:p>
    <w:p>
      <w:pPr>
        <w:pStyle w:val="4"/>
        <w:jc w:val="both"/>
        <w:rPr>
          <w:rFonts w:ascii="黑体" w:hAnsi="黑体" w:eastAsia="黑体" w:cs="黑体"/>
          <w:b w:val="0"/>
          <w:bCs w:val="0"/>
          <w:color w:val="auto"/>
          <w:kern w:val="2"/>
          <w:sz w:val="32"/>
        </w:rPr>
      </w:pPr>
    </w:p>
    <w:p>
      <w:pPr>
        <w:pStyle w:val="4"/>
        <w:jc w:val="both"/>
        <w:rPr>
          <w:rFonts w:ascii="黑体" w:hAnsi="黑体" w:eastAsia="黑体" w:cs="黑体"/>
          <w:b w:val="0"/>
          <w:bCs w:val="0"/>
          <w:color w:val="auto"/>
          <w:kern w:val="2"/>
          <w:sz w:val="32"/>
        </w:rPr>
      </w:pPr>
    </w:p>
    <w:p>
      <w:pPr>
        <w:rPr>
          <w:rFonts w:ascii="黑体" w:hAnsi="黑体" w:eastAsia="黑体" w:cs="黑体"/>
        </w:rPr>
      </w:pPr>
    </w:p>
    <w:p>
      <w:pPr>
        <w:pStyle w:val="4"/>
        <w:jc w:val="both"/>
        <w:rPr>
          <w:rFonts w:ascii="黑体" w:hAnsi="黑体" w:eastAsia="黑体" w:cs="黑体"/>
          <w:b w:val="0"/>
          <w:bCs w:val="0"/>
          <w:color w:val="auto"/>
          <w:kern w:val="2"/>
          <w:sz w:val="32"/>
        </w:rPr>
      </w:pPr>
      <w:r>
        <w:rPr>
          <w:rFonts w:hint="eastAsia" w:ascii="黑体" w:hAnsi="黑体" w:eastAsia="黑体" w:cs="黑体"/>
          <w:b w:val="0"/>
          <w:bCs w:val="0"/>
          <w:color w:val="auto"/>
          <w:kern w:val="2"/>
          <w:sz w:val="32"/>
        </w:rPr>
        <w:t>附件</w:t>
      </w:r>
    </w:p>
    <w:p>
      <w:pPr>
        <w:overflowPunct/>
        <w:topLinePunct w:val="0"/>
        <w:spacing w:line="5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九洲江涉粤桂（陆川）水库移民产业园段</w:t>
      </w:r>
    </w:p>
    <w:p>
      <w:pPr>
        <w:overflowPunct/>
        <w:topLinePunct w:val="0"/>
        <w:spacing w:line="5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河道管理范围划定调整成果</w:t>
      </w:r>
    </w:p>
    <w:p>
      <w:pPr>
        <w:pStyle w:val="5"/>
        <w:jc w:val="center"/>
        <w:rPr>
          <w:rFonts w:ascii="仿宋_GB2312" w:hAnsi="仿宋_GB2312" w:eastAsia="仿宋_GB2312" w:cs="仿宋_GB2312"/>
          <w:sz w:val="32"/>
          <w:szCs w:val="32"/>
        </w:rPr>
      </w:pPr>
      <w:r>
        <w:rPr>
          <w:rFonts w:eastAsia="宋体"/>
          <w:sz w:val="28"/>
          <w:szCs w:val="28"/>
        </w:rPr>
        <w:drawing>
          <wp:inline distT="0" distB="0" distL="114300" distR="114300">
            <wp:extent cx="4692650" cy="6644640"/>
            <wp:effectExtent l="0" t="0" r="12700" b="3810"/>
            <wp:docPr id="2" name="图片 1" descr="/home/gxxc/桌面/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ome/gxxc/桌面/图片1.png图片1"/>
                    <pic:cNvPicPr>
                      <a:picLocks noChangeAspect="1"/>
                    </pic:cNvPicPr>
                  </pic:nvPicPr>
                  <pic:blipFill>
                    <a:blip r:embed="rId4"/>
                    <a:srcRect/>
                    <a:stretch>
                      <a:fillRect/>
                    </a:stretch>
                  </pic:blipFill>
                  <pic:spPr>
                    <a:xfrm>
                      <a:off x="0" y="0"/>
                      <a:ext cx="4692650" cy="6644640"/>
                    </a:xfrm>
                    <a:prstGeom prst="rect">
                      <a:avLst/>
                    </a:prstGeom>
                    <a:noFill/>
                    <a:ln>
                      <a:noFill/>
                    </a:ln>
                  </pic:spPr>
                </pic:pic>
              </a:graphicData>
            </a:graphic>
          </wp:inline>
        </w:drawing>
      </w:r>
    </w:p>
    <w:p>
      <w:pPr>
        <w:pStyle w:val="5"/>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管理范围划定调整成果图</w:t>
      </w:r>
    </w:p>
    <w:p>
      <w:pPr>
        <w:jc w:val="center"/>
        <w:rPr>
          <w:rFonts w:ascii="方正小标宋简体" w:hAnsi="方正小标宋简体" w:eastAsia="方正小标宋简体" w:cs="方正小标宋简体"/>
        </w:rPr>
      </w:pPr>
      <w:r>
        <w:rPr>
          <w:rFonts w:hint="eastAsia" w:ascii="方正小标宋简体" w:hAnsi="方正小标宋简体" w:eastAsia="方正小标宋简体" w:cs="方正小标宋简体"/>
        </w:rPr>
        <w:t>调整成果电子界桩坐标表</w:t>
      </w:r>
    </w:p>
    <w:tbl>
      <w:tblPr>
        <w:tblStyle w:val="6"/>
        <w:tblW w:w="0" w:type="auto"/>
        <w:jc w:val="center"/>
        <w:tblLayout w:type="fixed"/>
        <w:tblCellMar>
          <w:top w:w="46" w:type="dxa"/>
          <w:left w:w="108" w:type="dxa"/>
          <w:bottom w:w="46" w:type="dxa"/>
          <w:right w:w="108" w:type="dxa"/>
        </w:tblCellMar>
      </w:tblPr>
      <w:tblGrid>
        <w:gridCol w:w="1081"/>
        <w:gridCol w:w="1214"/>
        <w:gridCol w:w="1276"/>
        <w:gridCol w:w="796"/>
        <w:gridCol w:w="1271"/>
        <w:gridCol w:w="1214"/>
        <w:gridCol w:w="1109"/>
        <w:gridCol w:w="769"/>
      </w:tblGrid>
      <w:tr>
        <w:tblPrEx>
          <w:tblCellMar>
            <w:top w:w="46" w:type="dxa"/>
            <w:left w:w="108" w:type="dxa"/>
            <w:bottom w:w="46" w:type="dxa"/>
            <w:right w:w="108" w:type="dxa"/>
          </w:tblCellMar>
        </w:tblPrEx>
        <w:trPr>
          <w:trHeight w:val="237" w:hRule="atLeast"/>
          <w:jc w:val="center"/>
        </w:trPr>
        <w:tc>
          <w:tcPr>
            <w:tcW w:w="8730" w:type="dxa"/>
            <w:gridSpan w:val="8"/>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rPr>
              <w:t>电子界桩坐标表</w:t>
            </w:r>
          </w:p>
        </w:tc>
      </w:tr>
      <w:tr>
        <w:tblPrEx>
          <w:tblCellMar>
            <w:top w:w="46" w:type="dxa"/>
            <w:left w:w="108" w:type="dxa"/>
            <w:bottom w:w="46" w:type="dxa"/>
            <w:right w:w="108" w:type="dxa"/>
          </w:tblCellMar>
        </w:tblPrEx>
        <w:trPr>
          <w:trHeight w:val="479"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黑体" w:hAnsi="黑体" w:eastAsia="黑体" w:cs="黑体"/>
                <w:color w:val="000000"/>
                <w:kern w:val="0"/>
                <w:sz w:val="21"/>
                <w:szCs w:val="21"/>
              </w:rPr>
            </w:pPr>
            <w:r>
              <w:rPr>
                <w:rFonts w:hint="eastAsia" w:ascii="黑体" w:hAnsi="黑体" w:eastAsia="黑体" w:cs="黑体"/>
                <w:color w:val="000000"/>
                <w:kern w:val="0"/>
                <w:sz w:val="21"/>
                <w:szCs w:val="21"/>
              </w:rPr>
              <w:t>自治区</w:t>
            </w:r>
          </w:p>
          <w:p>
            <w:pPr>
              <w:widowControl/>
              <w:jc w:val="center"/>
              <w:textAlignment w:val="center"/>
              <w:rPr>
                <w:rFonts w:ascii="黑体" w:hAnsi="黑体" w:eastAsia="黑体" w:cs="黑体"/>
                <w:color w:val="000000"/>
                <w:sz w:val="21"/>
                <w:szCs w:val="21"/>
              </w:rPr>
            </w:pPr>
            <w:r>
              <w:rPr>
                <w:rFonts w:hint="eastAsia" w:ascii="黑体" w:hAnsi="黑体" w:eastAsia="黑体" w:cs="黑体"/>
                <w:color w:val="000000"/>
                <w:kern w:val="0"/>
                <w:sz w:val="21"/>
                <w:szCs w:val="21"/>
              </w:rPr>
              <w:t>名称</w:t>
            </w:r>
          </w:p>
        </w:tc>
        <w:tc>
          <w:tcPr>
            <w:tcW w:w="3286"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广西壮族自治区</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黑体" w:hAnsi="黑体" w:eastAsia="黑体" w:cs="黑体"/>
                <w:color w:val="000000"/>
                <w:sz w:val="21"/>
                <w:szCs w:val="21"/>
              </w:rPr>
            </w:pPr>
            <w:r>
              <w:rPr>
                <w:rFonts w:hint="eastAsia" w:ascii="黑体" w:hAnsi="黑体" w:eastAsia="黑体" w:cs="黑体"/>
                <w:color w:val="000000"/>
                <w:sz w:val="21"/>
                <w:szCs w:val="21"/>
              </w:rPr>
              <w:t>设区市</w:t>
            </w:r>
          </w:p>
          <w:p>
            <w:pPr>
              <w:widowControl/>
              <w:jc w:val="center"/>
              <w:textAlignment w:val="center"/>
              <w:rPr>
                <w:rFonts w:ascii="黑体" w:hAnsi="黑体" w:eastAsia="黑体" w:cs="黑体"/>
                <w:color w:val="000000"/>
                <w:sz w:val="21"/>
                <w:szCs w:val="21"/>
              </w:rPr>
            </w:pPr>
            <w:r>
              <w:rPr>
                <w:rFonts w:hint="eastAsia" w:ascii="黑体" w:hAnsi="黑体" w:eastAsia="黑体" w:cs="黑体"/>
                <w:color w:val="000000"/>
                <w:sz w:val="21"/>
                <w:szCs w:val="21"/>
              </w:rPr>
              <w:t>名称</w:t>
            </w:r>
          </w:p>
        </w:tc>
        <w:tc>
          <w:tcPr>
            <w:tcW w:w="309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玉林市</w:t>
            </w:r>
          </w:p>
        </w:tc>
      </w:tr>
      <w:tr>
        <w:tblPrEx>
          <w:tblCellMar>
            <w:top w:w="46" w:type="dxa"/>
            <w:left w:w="108" w:type="dxa"/>
            <w:bottom w:w="46" w:type="dxa"/>
            <w:right w:w="108" w:type="dxa"/>
          </w:tblCellMar>
        </w:tblPrEx>
        <w:trPr>
          <w:trHeight w:val="750" w:hRule="atLeast"/>
          <w:jc w:val="center"/>
        </w:trPr>
        <w:tc>
          <w:tcPr>
            <w:tcW w:w="108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黑体" w:hAnsi="黑体" w:eastAsia="黑体" w:cs="黑体"/>
                <w:color w:val="000000"/>
                <w:sz w:val="21"/>
                <w:szCs w:val="21"/>
              </w:rPr>
            </w:pPr>
            <w:r>
              <w:rPr>
                <w:rFonts w:hint="eastAsia" w:ascii="黑体" w:hAnsi="黑体" w:eastAsia="黑体" w:cs="黑体"/>
                <w:color w:val="000000"/>
                <w:sz w:val="21"/>
                <w:szCs w:val="21"/>
              </w:rPr>
              <w:t>河流</w:t>
            </w:r>
          </w:p>
          <w:p>
            <w:pPr>
              <w:widowControl/>
              <w:jc w:val="center"/>
              <w:textAlignment w:val="center"/>
              <w:rPr>
                <w:rFonts w:ascii="黑体" w:hAnsi="黑体" w:eastAsia="黑体" w:cs="黑体"/>
                <w:color w:val="000000"/>
                <w:sz w:val="21"/>
                <w:szCs w:val="21"/>
              </w:rPr>
            </w:pPr>
            <w:r>
              <w:rPr>
                <w:rFonts w:hint="eastAsia" w:ascii="黑体" w:hAnsi="黑体" w:eastAsia="黑体" w:cs="黑体"/>
                <w:color w:val="000000"/>
                <w:sz w:val="21"/>
                <w:szCs w:val="21"/>
              </w:rPr>
              <w:t>名称</w:t>
            </w:r>
          </w:p>
        </w:tc>
        <w:tc>
          <w:tcPr>
            <w:tcW w:w="121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九洲江</w:t>
            </w:r>
          </w:p>
        </w:tc>
        <w:tc>
          <w:tcPr>
            <w:tcW w:w="1276" w:type="dxa"/>
            <w:tcBorders>
              <w:top w:val="single" w:color="000000" w:sz="4" w:space="0"/>
              <w:left w:val="single" w:color="000000" w:sz="4" w:space="0"/>
              <w:bottom w:val="nil"/>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左岸长度</w:t>
            </w:r>
          </w:p>
          <w:p>
            <w:pPr>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w:t>
            </w:r>
            <w:r>
              <w:rPr>
                <w:rFonts w:eastAsia="宋体"/>
                <w:color w:val="000000"/>
                <w:sz w:val="21"/>
                <w:szCs w:val="21"/>
              </w:rPr>
              <w:t>km</w:t>
            </w:r>
            <w:r>
              <w:rPr>
                <w:rFonts w:hint="eastAsia" w:ascii="仿宋" w:hAnsi="仿宋" w:eastAsia="仿宋" w:cs="仿宋"/>
                <w:color w:val="000000"/>
                <w:sz w:val="21"/>
                <w:szCs w:val="21"/>
              </w:rPr>
              <w:t>）</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123.84</w:t>
            </w:r>
          </w:p>
        </w:tc>
        <w:tc>
          <w:tcPr>
            <w:tcW w:w="127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黑体" w:hAnsi="黑体" w:eastAsia="黑体" w:cs="黑体"/>
                <w:color w:val="000000"/>
                <w:sz w:val="21"/>
                <w:szCs w:val="21"/>
              </w:rPr>
            </w:pPr>
            <w:r>
              <w:rPr>
                <w:rFonts w:hint="eastAsia" w:ascii="黑体" w:hAnsi="黑体" w:eastAsia="黑体" w:cs="黑体"/>
                <w:color w:val="000000"/>
                <w:sz w:val="21"/>
                <w:szCs w:val="21"/>
              </w:rPr>
              <w:t>流经乡镇</w:t>
            </w:r>
          </w:p>
          <w:p>
            <w:pPr>
              <w:widowControl/>
              <w:jc w:val="center"/>
              <w:textAlignment w:val="center"/>
              <w:rPr>
                <w:rFonts w:ascii="黑体" w:hAnsi="黑体" w:eastAsia="黑体" w:cs="黑体"/>
                <w:color w:val="000000"/>
                <w:sz w:val="21"/>
                <w:szCs w:val="21"/>
              </w:rPr>
            </w:pPr>
            <w:r>
              <w:rPr>
                <w:rFonts w:hint="eastAsia" w:ascii="黑体" w:hAnsi="黑体" w:eastAsia="黑体" w:cs="黑体"/>
                <w:color w:val="000000"/>
                <w:sz w:val="21"/>
                <w:szCs w:val="21"/>
              </w:rPr>
              <w:t>名称</w:t>
            </w:r>
          </w:p>
        </w:tc>
        <w:tc>
          <w:tcPr>
            <w:tcW w:w="3092" w:type="dxa"/>
            <w:gridSpan w:val="3"/>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rPr>
              <w:t>陆川县古城镇</w:t>
            </w:r>
          </w:p>
        </w:tc>
      </w:tr>
      <w:tr>
        <w:tblPrEx>
          <w:tblCellMar>
            <w:top w:w="46" w:type="dxa"/>
            <w:left w:w="108" w:type="dxa"/>
            <w:bottom w:w="46" w:type="dxa"/>
            <w:right w:w="108" w:type="dxa"/>
          </w:tblCellMar>
        </w:tblPrEx>
        <w:trPr>
          <w:trHeight w:val="474" w:hRule="atLeast"/>
          <w:jc w:val="center"/>
        </w:trPr>
        <w:tc>
          <w:tcPr>
            <w:tcW w:w="1081" w:type="dxa"/>
            <w:vMerge w:val="continue"/>
            <w:tcBorders>
              <w:top w:val="single" w:color="000000" w:sz="4" w:space="0"/>
              <w:left w:val="single" w:color="000000" w:sz="4" w:space="0"/>
              <w:bottom w:val="single" w:color="000000" w:sz="4" w:space="0"/>
              <w:right w:val="single" w:color="000000" w:sz="4" w:space="0"/>
            </w:tcBorders>
            <w:noWrap/>
            <w:vAlign w:val="center"/>
          </w:tcPr>
          <w:p>
            <w:pPr>
              <w:rPr>
                <w:rFonts w:ascii="等线" w:hAnsi="等线" w:eastAsia="等线" w:cs="等线"/>
                <w:sz w:val="21"/>
                <w:szCs w:val="22"/>
              </w:rPr>
            </w:pPr>
          </w:p>
        </w:tc>
        <w:tc>
          <w:tcPr>
            <w:tcW w:w="1214" w:type="dxa"/>
            <w:vMerge w:val="continue"/>
            <w:tcBorders>
              <w:top w:val="single" w:color="000000" w:sz="4" w:space="0"/>
              <w:left w:val="single" w:color="000000" w:sz="4" w:space="0"/>
              <w:bottom w:val="single" w:color="000000" w:sz="4" w:space="0"/>
              <w:right w:val="single" w:color="000000" w:sz="4" w:space="0"/>
            </w:tcBorders>
            <w:noWrap/>
            <w:vAlign w:val="center"/>
          </w:tcPr>
          <w:p>
            <w:pPr>
              <w:rPr>
                <w:rFonts w:ascii="等线" w:hAnsi="等线" w:eastAsia="等线" w:cs="等线"/>
                <w:sz w:val="21"/>
                <w:szCs w:val="22"/>
              </w:rPr>
            </w:pPr>
          </w:p>
        </w:tc>
        <w:tc>
          <w:tcPr>
            <w:tcW w:w="1276" w:type="dxa"/>
            <w:tcBorders>
              <w:top w:val="single" w:color="000000" w:sz="4" w:space="0"/>
              <w:left w:val="single" w:color="000000" w:sz="4" w:space="0"/>
              <w:bottom w:val="nil"/>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右岸长度</w:t>
            </w:r>
          </w:p>
          <w:p>
            <w:pPr>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w:t>
            </w:r>
            <w:r>
              <w:rPr>
                <w:rFonts w:eastAsia="宋体"/>
                <w:color w:val="000000"/>
                <w:sz w:val="21"/>
                <w:szCs w:val="21"/>
              </w:rPr>
              <w:t>km</w:t>
            </w:r>
            <w:r>
              <w:rPr>
                <w:rFonts w:hint="eastAsia" w:ascii="仿宋" w:hAnsi="仿宋" w:eastAsia="仿宋" w:cs="仿宋"/>
                <w:color w:val="000000"/>
                <w:sz w:val="21"/>
                <w:szCs w:val="21"/>
              </w:rPr>
              <w:t>）</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89.01</w:t>
            </w:r>
          </w:p>
        </w:tc>
        <w:tc>
          <w:tcPr>
            <w:tcW w:w="1271" w:type="dxa"/>
            <w:vMerge w:val="continue"/>
            <w:tcBorders>
              <w:top w:val="single" w:color="000000" w:sz="4" w:space="0"/>
              <w:left w:val="single" w:color="000000" w:sz="4" w:space="0"/>
              <w:bottom w:val="single" w:color="000000" w:sz="4" w:space="0"/>
              <w:right w:val="single" w:color="000000" w:sz="4" w:space="0"/>
            </w:tcBorders>
            <w:noWrap/>
            <w:vAlign w:val="center"/>
          </w:tcPr>
          <w:p>
            <w:pPr>
              <w:rPr>
                <w:rFonts w:ascii="等线" w:hAnsi="等线" w:eastAsia="等线" w:cs="等线"/>
                <w:sz w:val="21"/>
                <w:szCs w:val="22"/>
              </w:rPr>
            </w:pPr>
          </w:p>
        </w:tc>
        <w:tc>
          <w:tcPr>
            <w:tcW w:w="3092"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pPr>
              <w:rPr>
                <w:rFonts w:ascii="等线" w:hAnsi="等线" w:eastAsia="等线" w:cs="等线"/>
                <w:sz w:val="21"/>
                <w:szCs w:val="22"/>
              </w:rPr>
            </w:pPr>
          </w:p>
        </w:tc>
      </w:tr>
      <w:tr>
        <w:tblPrEx>
          <w:tblCellMar>
            <w:top w:w="46" w:type="dxa"/>
            <w:left w:w="108" w:type="dxa"/>
            <w:bottom w:w="46" w:type="dxa"/>
            <w:right w:w="108" w:type="dxa"/>
          </w:tblCellMar>
        </w:tblPrEx>
        <w:trPr>
          <w:trHeight w:val="405" w:hRule="atLeast"/>
          <w:jc w:val="center"/>
        </w:trPr>
        <w:tc>
          <w:tcPr>
            <w:tcW w:w="108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1"/>
                <w:szCs w:val="21"/>
              </w:rPr>
            </w:pPr>
            <w:r>
              <w:rPr>
                <w:rFonts w:hint="eastAsia" w:ascii="黑体" w:hAnsi="黑体" w:eastAsia="黑体" w:cs="黑体"/>
                <w:color w:val="000000"/>
                <w:kern w:val="0"/>
                <w:sz w:val="21"/>
                <w:szCs w:val="21"/>
              </w:rPr>
              <w:t>界桩编号</w:t>
            </w:r>
          </w:p>
        </w:tc>
        <w:tc>
          <w:tcPr>
            <w:tcW w:w="24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国家</w:t>
            </w:r>
            <w:r>
              <w:rPr>
                <w:rFonts w:eastAsia="宋体"/>
                <w:color w:val="000000"/>
                <w:sz w:val="21"/>
                <w:szCs w:val="21"/>
              </w:rPr>
              <w:t>2000</w:t>
            </w:r>
            <w:r>
              <w:rPr>
                <w:rFonts w:hint="eastAsia" w:ascii="仿宋" w:hAnsi="仿宋" w:eastAsia="仿宋" w:cs="仿宋"/>
                <w:color w:val="000000"/>
                <w:sz w:val="21"/>
                <w:szCs w:val="21"/>
              </w:rPr>
              <w:t>经纬度坐标</w:t>
            </w:r>
          </w:p>
        </w:tc>
        <w:tc>
          <w:tcPr>
            <w:tcW w:w="79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界桩类型</w:t>
            </w:r>
          </w:p>
        </w:tc>
        <w:tc>
          <w:tcPr>
            <w:tcW w:w="127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1"/>
                <w:szCs w:val="21"/>
              </w:rPr>
            </w:pPr>
            <w:r>
              <w:rPr>
                <w:rFonts w:hint="eastAsia" w:ascii="黑体" w:hAnsi="黑体" w:eastAsia="黑体" w:cs="黑体"/>
                <w:color w:val="000000"/>
                <w:kern w:val="0"/>
                <w:sz w:val="21"/>
                <w:szCs w:val="21"/>
              </w:rPr>
              <w:t>界桩编号</w:t>
            </w:r>
          </w:p>
        </w:tc>
        <w:tc>
          <w:tcPr>
            <w:tcW w:w="2323"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国家</w:t>
            </w:r>
            <w:r>
              <w:rPr>
                <w:rFonts w:eastAsia="宋体"/>
                <w:color w:val="000000"/>
                <w:sz w:val="21"/>
                <w:szCs w:val="21"/>
              </w:rPr>
              <w:t>2000</w:t>
            </w:r>
            <w:r>
              <w:rPr>
                <w:rFonts w:hint="eastAsia" w:ascii="仿宋" w:hAnsi="仿宋" w:eastAsia="仿宋" w:cs="仿宋"/>
                <w:color w:val="000000"/>
                <w:sz w:val="21"/>
                <w:szCs w:val="21"/>
              </w:rPr>
              <w:t>经纬度坐标</w:t>
            </w:r>
          </w:p>
        </w:tc>
        <w:tc>
          <w:tcPr>
            <w:tcW w:w="769"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界桩类型</w:t>
            </w:r>
          </w:p>
        </w:tc>
      </w:tr>
      <w:tr>
        <w:tblPrEx>
          <w:tblCellMar>
            <w:top w:w="46" w:type="dxa"/>
            <w:left w:w="108" w:type="dxa"/>
            <w:bottom w:w="46" w:type="dxa"/>
            <w:right w:w="108" w:type="dxa"/>
          </w:tblCellMar>
        </w:tblPrEx>
        <w:trPr>
          <w:trHeight w:val="175" w:hRule="atLeast"/>
          <w:jc w:val="center"/>
        </w:trPr>
        <w:tc>
          <w:tcPr>
            <w:tcW w:w="1081" w:type="dxa"/>
            <w:vMerge w:val="continue"/>
            <w:tcBorders>
              <w:top w:val="single" w:color="000000" w:sz="4" w:space="0"/>
              <w:left w:val="single" w:color="000000" w:sz="4" w:space="0"/>
              <w:bottom w:val="single" w:color="000000" w:sz="4" w:space="0"/>
              <w:right w:val="single" w:color="000000" w:sz="4" w:space="0"/>
            </w:tcBorders>
            <w:noWrap/>
            <w:vAlign w:val="center"/>
          </w:tcPr>
          <w:p>
            <w:pPr>
              <w:rPr>
                <w:rFonts w:ascii="等线" w:hAnsi="等线" w:eastAsia="等线" w:cs="等线"/>
                <w:sz w:val="21"/>
                <w:szCs w:val="22"/>
              </w:rPr>
            </w:pP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经度</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纬度</w:t>
            </w:r>
          </w:p>
        </w:tc>
        <w:tc>
          <w:tcPr>
            <w:tcW w:w="796" w:type="dxa"/>
            <w:vMerge w:val="continue"/>
            <w:tcBorders>
              <w:top w:val="single" w:color="000000" w:sz="4" w:space="0"/>
              <w:left w:val="single" w:color="000000" w:sz="4" w:space="0"/>
              <w:bottom w:val="single" w:color="000000" w:sz="4" w:space="0"/>
              <w:right w:val="single" w:color="000000" w:sz="4" w:space="0"/>
            </w:tcBorders>
            <w:noWrap/>
            <w:vAlign w:val="center"/>
          </w:tcPr>
          <w:p>
            <w:pPr>
              <w:rPr>
                <w:rFonts w:ascii="等线" w:hAnsi="等线" w:eastAsia="等线" w:cs="等线"/>
                <w:sz w:val="21"/>
                <w:szCs w:val="22"/>
              </w:rPr>
            </w:pPr>
          </w:p>
        </w:tc>
        <w:tc>
          <w:tcPr>
            <w:tcW w:w="1271" w:type="dxa"/>
            <w:vMerge w:val="continue"/>
            <w:tcBorders>
              <w:top w:val="single" w:color="000000" w:sz="4" w:space="0"/>
              <w:left w:val="single" w:color="000000" w:sz="4" w:space="0"/>
              <w:bottom w:val="single" w:color="000000" w:sz="4" w:space="0"/>
              <w:right w:val="single" w:color="000000" w:sz="4" w:space="0"/>
            </w:tcBorders>
            <w:noWrap/>
            <w:vAlign w:val="center"/>
          </w:tcPr>
          <w:p>
            <w:pPr>
              <w:rPr>
                <w:rFonts w:ascii="等线" w:hAnsi="等线" w:eastAsia="等线" w:cs="等线"/>
                <w:sz w:val="21"/>
                <w:szCs w:val="22"/>
              </w:rPr>
            </w:pP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经度</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纬度</w:t>
            </w:r>
          </w:p>
        </w:tc>
        <w:tc>
          <w:tcPr>
            <w:tcW w:w="769" w:type="dxa"/>
            <w:vMerge w:val="continue"/>
            <w:tcBorders>
              <w:top w:val="single" w:color="000000" w:sz="4" w:space="0"/>
              <w:left w:val="single" w:color="000000" w:sz="4" w:space="0"/>
              <w:bottom w:val="single" w:color="000000" w:sz="4" w:space="0"/>
              <w:right w:val="single" w:color="000000" w:sz="4" w:space="0"/>
            </w:tcBorders>
            <w:noWrap/>
            <w:vAlign w:val="center"/>
          </w:tcPr>
          <w:p>
            <w:pPr>
              <w:rPr>
                <w:rFonts w:ascii="等线" w:hAnsi="等线" w:eastAsia="等线" w:cs="等线"/>
                <w:sz w:val="21"/>
                <w:szCs w:val="22"/>
              </w:rPr>
            </w:pPr>
          </w:p>
        </w:tc>
      </w:tr>
      <w:tr>
        <w:tblPrEx>
          <w:tblCellMar>
            <w:top w:w="46" w:type="dxa"/>
            <w:left w:w="108" w:type="dxa"/>
            <w:bottom w:w="46" w:type="dxa"/>
            <w:right w:w="108" w:type="dxa"/>
          </w:tblCellMar>
        </w:tblPrEx>
        <w:trPr>
          <w:trHeight w:val="404"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eastAsia="宋体"/>
                <w:color w:val="000000"/>
                <w:sz w:val="21"/>
                <w:szCs w:val="21"/>
              </w:rPr>
              <w:t>Z0001</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110.317828</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21.897810</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Z0039</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110.317347</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21.902924</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eastAsia="宋体"/>
                <w:color w:val="000000"/>
                <w:sz w:val="21"/>
                <w:szCs w:val="21"/>
              </w:rPr>
              <w:t>Z0002</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110.317698</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21.898691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Z0040</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110.316550</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21.903192</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eastAsia="宋体"/>
                <w:color w:val="000000"/>
                <w:sz w:val="21"/>
                <w:szCs w:val="21"/>
              </w:rPr>
              <w:t>Z0003</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110.316912</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21.899134</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Z0041</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110.315958</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21.903894</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eastAsia="宋体"/>
                <w:color w:val="000000"/>
                <w:sz w:val="21"/>
                <w:szCs w:val="21"/>
              </w:rPr>
              <w:t>Z0004</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110.316648</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21.899948</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Z0042</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110.315114</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21.904311</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eastAsia="宋体"/>
                <w:color w:val="000000"/>
                <w:sz w:val="21"/>
                <w:szCs w:val="21"/>
              </w:rPr>
              <w:t>Z0005</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110.316761</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21.900394</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Z0043</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110.314782</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21.903939</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eastAsia="宋体"/>
                <w:color w:val="000000"/>
                <w:sz w:val="21"/>
                <w:szCs w:val="21"/>
              </w:rPr>
              <w:t>Z0006</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110.317422</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21.899809</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Z0044</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110.315630</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21.903605</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eastAsia="宋体"/>
                <w:color w:val="000000"/>
                <w:sz w:val="21"/>
                <w:szCs w:val="21"/>
              </w:rPr>
              <w:t>Z0007</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110.317814</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21.900436</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Z0045</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110.316292</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21.902986</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eastAsia="宋体"/>
                <w:color w:val="000000"/>
                <w:sz w:val="21"/>
                <w:szCs w:val="21"/>
              </w:rPr>
              <w:t>Z0008</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110.318683</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21.900263</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Z0046</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110.315557</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21.902653</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eastAsia="宋体"/>
                <w:color w:val="000000"/>
                <w:sz w:val="21"/>
                <w:szCs w:val="21"/>
              </w:rPr>
              <w:t>Z0009</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110.319342</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21.900107</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Z0047</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110.315043</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21.902637</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eastAsia="宋体"/>
                <w:color w:val="000000"/>
                <w:sz w:val="21"/>
                <w:szCs w:val="21"/>
              </w:rPr>
              <w:t>Z0010</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110.319442</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21.899215</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Z0048</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110.314245</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21.903129</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eastAsia="宋体"/>
                <w:color w:val="000000"/>
                <w:sz w:val="21"/>
                <w:szCs w:val="21"/>
              </w:rPr>
              <w:t>Z0011</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110.319667</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21.898391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Z0049</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110.314243</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21.902823</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eastAsia="宋体"/>
                <w:color w:val="000000"/>
                <w:sz w:val="21"/>
                <w:szCs w:val="21"/>
              </w:rPr>
              <w:t>Z0012</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110.318868</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21.898276</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Z0050</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110.314556</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21.902058</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eastAsia="宋体"/>
                <w:color w:val="000000"/>
                <w:sz w:val="21"/>
                <w:szCs w:val="21"/>
              </w:rPr>
              <w:t>Z0013</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110.318726</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21.897673</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Z0051</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110.313988</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21.901891</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524"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eastAsia="宋体"/>
                <w:color w:val="000000"/>
                <w:sz w:val="21"/>
                <w:szCs w:val="21"/>
              </w:rPr>
              <w:t>Z0014</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110.319238</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21.897000</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Z0052</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110.313293</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21.902518</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Arial" w:hAnsi="Arial" w:eastAsia="宋体" w:cs="Arial"/>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Z0015</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110.319794</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21.897112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Z0053</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110.312922</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21.903303</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719"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Z0016</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110.320433</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21.897078</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Z0054</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110.313351</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21.904102</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Z0017</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110.320323</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21.897914</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Z0055</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110.313928</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21.904809</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Z0018</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110.320580</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21.898599</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Z0056</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110.314111</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21.905691</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Z0019</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110.320779</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21.899392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Z0057</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110.315021</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21.905967</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Z0020</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110.320098</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21.899921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Z0058</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110.314980</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21.906415</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Z0021</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110.319758</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21.900721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Z0059</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110.314231</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21.906348</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Z0022</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110.320171</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21.901501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Z0060</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110.313892</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21.907080</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Z0023</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110.320963</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21.901516</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Z0061</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110.313863</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21.907977</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Z0024</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110.321814</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21.901224</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Z0062</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110.314083</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21.908812</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Z0025</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110.321092</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21.901739</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Z0063</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110.314931</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21.908591</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Z0026</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110.320535</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21.902427</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Z0064</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110.314719</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21.907937</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Z0027</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110.321349</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21.902544</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Z0065</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110.315402</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21.907563</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Z0028</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110.321076</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21.902912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Z0066</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110.314872</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21.907093</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Z0029</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110.320217</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21.902801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Z0067</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110.315755</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21.907133</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Z0030</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110.319705</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21.902041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Z0068</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110.316452</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21.906819</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Z0031</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110.318933</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21.902456</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Z0069</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110.317080</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21.907059</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Z0032</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110.318829</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21.901680</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Z0070</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110.317885</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21.906718</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Z0033</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110.318239</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21.901112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Z0071</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110.318652</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21.907055</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674"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Z0034</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110.317391</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21.901488</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Z0072</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110.319234</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21.907201</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674"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Z0035</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110.317600</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21.902156</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Z0073</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110.318592</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21.907783</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Z0036</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110.317952</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21.902461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Z0074</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110.319100</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21.908239</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170"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Z0037</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110.318172</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21.903245</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Z0075</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110.320003</w:t>
            </w: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21.908303</w:t>
            </w: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r>
      <w:tr>
        <w:tblPrEx>
          <w:tblCellMar>
            <w:top w:w="46" w:type="dxa"/>
            <w:left w:w="108" w:type="dxa"/>
            <w:bottom w:w="46" w:type="dxa"/>
            <w:right w:w="108" w:type="dxa"/>
          </w:tblCellMar>
        </w:tblPrEx>
        <w:trPr>
          <w:trHeight w:val="278" w:hRule="atLeast"/>
          <w:jc w:val="center"/>
        </w:trPr>
        <w:tc>
          <w:tcPr>
            <w:tcW w:w="10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Z0038</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110.317413</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宋体"/>
                <w:color w:val="000000"/>
                <w:sz w:val="21"/>
                <w:szCs w:val="21"/>
              </w:rPr>
            </w:pPr>
            <w:r>
              <w:rPr>
                <w:rFonts w:eastAsia="宋体"/>
                <w:color w:val="000000"/>
                <w:kern w:val="0"/>
                <w:sz w:val="21"/>
                <w:szCs w:val="21"/>
              </w:rPr>
              <w:t>21.903678</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overflowPunct/>
              <w:topLinePunct w:val="0"/>
              <w:spacing w:line="240" w:lineRule="exact"/>
              <w:jc w:val="center"/>
              <w:textAlignment w:val="center"/>
              <w:rPr>
                <w:rFonts w:eastAsia="宋体"/>
                <w:color w:val="000000"/>
                <w:sz w:val="21"/>
                <w:szCs w:val="21"/>
              </w:rPr>
            </w:pPr>
            <w:r>
              <w:rPr>
                <w:rFonts w:hint="eastAsia" w:ascii="仿宋" w:hAnsi="仿宋" w:eastAsia="仿宋" w:cs="仿宋"/>
                <w:color w:val="000000"/>
                <w:sz w:val="21"/>
                <w:szCs w:val="21"/>
              </w:rPr>
              <w:t>电子界桩</w:t>
            </w:r>
          </w:p>
        </w:tc>
        <w:tc>
          <w:tcPr>
            <w:tcW w:w="1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eastAsia="宋体"/>
                <w:color w:val="000000"/>
                <w:sz w:val="21"/>
                <w:szCs w:val="21"/>
              </w:rPr>
            </w:pP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eastAsia="宋体"/>
                <w:color w:val="000000"/>
                <w:sz w:val="21"/>
                <w:szCs w:val="21"/>
              </w:rPr>
            </w:pPr>
          </w:p>
        </w:tc>
        <w:tc>
          <w:tcPr>
            <w:tcW w:w="11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eastAsia="宋体"/>
                <w:color w:val="000000"/>
                <w:sz w:val="21"/>
                <w:szCs w:val="21"/>
              </w:rPr>
            </w:pP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eastAsia="宋体"/>
                <w:color w:val="000000"/>
                <w:sz w:val="21"/>
                <w:szCs w:val="21"/>
              </w:rPr>
            </w:pPr>
          </w:p>
        </w:tc>
      </w:tr>
    </w:tbl>
    <w:p>
      <w:pPr>
        <w:pStyle w:val="5"/>
        <w:overflowPunct/>
        <w:topLinePunct w:val="0"/>
        <w:spacing w:line="20" w:lineRule="exact"/>
        <w:rPr>
          <w:rFonts w:ascii="仿宋_GB2312" w:hAnsi="仿宋_GB2312" w:eastAsia="仿宋_GB2312" w:cs="仿宋_GB2312"/>
          <w:sz w:val="32"/>
          <w:szCs w:val="32"/>
        </w:rPr>
      </w:pPr>
    </w:p>
    <w:p>
      <w:pPr>
        <w:rPr>
          <w:rFonts w:ascii="仿宋_GB2312" w:eastAsia="仿宋_GB231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w:altName w:val="宋体"/>
    <w:panose1 w:val="00000000000000000000"/>
    <w:charset w:val="00"/>
    <w:family w:val="auto"/>
    <w:pitch w:val="default"/>
    <w:sig w:usb0="00000000" w:usb1="00000000"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jYjI4Zjg3MzM3MDliZTk2NTZkOTRkMzZhMDE5MDEifQ=="/>
  </w:docVars>
  <w:rsids>
    <w:rsidRoot w:val="00000000"/>
    <w:rsid w:val="125F07A8"/>
    <w:rsid w:val="1FA40988"/>
    <w:rsid w:val="295641E2"/>
    <w:rsid w:val="3BB000FC"/>
    <w:rsid w:val="4B0C7D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overflowPunct w:val="0"/>
      <w:topLinePunct/>
      <w:jc w:val="both"/>
    </w:pPr>
    <w:rPr>
      <w:rFonts w:ascii="Times New Roman" w:hAnsi="Times New Roman" w:eastAsia="方正仿宋_GBK" w:cs="Times New Roman"/>
      <w:kern w:val="2"/>
      <w:sz w:val="32"/>
      <w:szCs w:val="32"/>
      <w:lang w:val="en-US" w:eastAsia="zh-CN" w:bidi="ar-SA"/>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First Indent"/>
    <w:basedOn w:val="3"/>
    <w:next w:val="5"/>
    <w:qFormat/>
    <w:uiPriority w:val="99"/>
    <w:pPr>
      <w:ind w:firstLine="420" w:firstLineChars="100"/>
    </w:pPr>
  </w:style>
  <w:style w:type="paragraph" w:styleId="3">
    <w:name w:val="Body Text"/>
    <w:basedOn w:val="4"/>
    <w:next w:val="4"/>
    <w:qFormat/>
    <w:uiPriority w:val="0"/>
    <w:pPr>
      <w:autoSpaceDE w:val="0"/>
      <w:autoSpaceDN w:val="0"/>
      <w:spacing w:line="360" w:lineRule="auto"/>
      <w:jc w:val="left"/>
    </w:pPr>
    <w:rPr>
      <w:rFonts w:ascii="仿宋" w:hAnsi="仿宋" w:eastAsia="仿宋"/>
      <w:sz w:val="28"/>
      <w:szCs w:val="28"/>
      <w:lang w:eastAsia="en-US"/>
    </w:rPr>
  </w:style>
  <w:style w:type="paragraph" w:styleId="4">
    <w:name w:val="Title"/>
    <w:basedOn w:val="1"/>
    <w:next w:val="1"/>
    <w:qFormat/>
    <w:uiPriority w:val="0"/>
    <w:pPr>
      <w:widowControl/>
      <w:spacing w:before="240" w:after="60" w:line="560" w:lineRule="exact"/>
      <w:jc w:val="center"/>
      <w:outlineLvl w:val="0"/>
    </w:pPr>
    <w:rPr>
      <w:rFonts w:ascii="Arial" w:hAnsi="Arial" w:eastAsia="华文中宋" w:cs="Arial"/>
      <w:b/>
      <w:bCs/>
      <w:color w:val="FF0000"/>
      <w:kern w:val="0"/>
      <w:sz w:val="84"/>
    </w:rPr>
  </w:style>
  <w:style w:type="paragraph" w:styleId="5">
    <w:name w:val="footer"/>
    <w:basedOn w:val="1"/>
    <w:qFormat/>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2021-04-01T01:30:00Z</dcterms:created>
  <dc:creator>Administrator</dc:creator>
  <cp:lastModifiedBy>梁明明</cp:lastModifiedBy>
  <dcterms:modified xsi:type="dcterms:W3CDTF">2024-05-22T02:01:47Z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B97256DF02944FBB8EB161CC37B06061</vt:lpwstr>
  </property>
</Properties>
</file>