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102A6D04">
      <w:pPr>
        <w:rPr>
          <w:rFonts w:ascii="华文中宋" w:hAnsi="华文中宋" w:eastAsia="华文中宋"/>
          <w:color w:val="FF0000"/>
          <w:spacing w:val="-20"/>
          <w:sz w:val="18"/>
          <w:szCs w:val="18"/>
        </w:rPr>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4"/>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　</w:t>
            </w:r>
            <w:r>
              <w:rPr>
                <w:rFonts w:ascii="仿宋_GB2312" w:hAnsi="华文中宋" w:eastAsia="仿宋_GB2312"/>
                <w:sz w:val="32"/>
                <w:szCs w:val="32"/>
              </w:rPr>
              <w:t>号</w:t>
            </w:r>
          </w:p>
        </w:tc>
      </w:tr>
    </w:tbl>
    <w:p w14:paraId="3AA1A094">
      <w:pPr>
        <w:widowControl/>
        <w:snapToGrid w:val="0"/>
        <w:spacing w:line="600" w:lineRule="exact"/>
        <w:ind w:left="-141" w:leftChars="-67" w:right="-197" w:rightChars="-94"/>
        <w:jc w:val="center"/>
        <w:rPr>
          <w:rFonts w:ascii="仿宋_GB2312" w:hAnsi="华文中宋" w:eastAsia="仿宋_GB2312"/>
          <w:sz w:val="32"/>
          <w:szCs w:val="32"/>
        </w:rPr>
      </w:pPr>
    </w:p>
    <w:p w14:paraId="7A0BF353">
      <w:pPr>
        <w:keepNext w:val="0"/>
        <w:keepLines w:val="0"/>
        <w:widowControl/>
        <w:suppressLineNumbers w:val="0"/>
        <w:jc w:val="center"/>
        <w:rPr>
          <w:rFonts w:ascii="方正小标宋简体" w:hAnsi="方正粗黑宋简体" w:eastAsia="方正小标宋简体" w:cs="方正粗黑宋简体"/>
          <w:kern w:val="44"/>
          <w:sz w:val="44"/>
          <w:szCs w:val="44"/>
        </w:rPr>
      </w:pPr>
      <w:r>
        <w:rPr>
          <w:rFonts w:hint="eastAsia" w:ascii="方正小标宋简体" w:hAnsi="方正小标宋简体" w:eastAsia="方正小标宋简体" w:cs="方正小标宋简体"/>
          <w:sz w:val="44"/>
          <w:szCs w:val="44"/>
        </w:rPr>
        <w:t>玉林市发展和改革委员会</w:t>
      </w:r>
      <w:r>
        <w:rPr>
          <w:rFonts w:hint="eastAsia" w:ascii="方正小标宋简体" w:hAnsi="方正小标宋简体" w:eastAsia="方正小标宋简体" w:cs="方正小标宋简体"/>
          <w:kern w:val="44"/>
          <w:sz w:val="44"/>
          <w:szCs w:val="44"/>
        </w:rPr>
        <w:t>关于</w:t>
      </w:r>
      <w:r>
        <w:rPr>
          <w:rFonts w:hint="eastAsia" w:ascii="方正小标宋简体" w:hAnsi="方正小标宋简体" w:eastAsia="方正小标宋简体" w:cs="方正小标宋简体"/>
          <w:sz w:val="44"/>
          <w:szCs w:val="44"/>
          <w:lang w:val="en-US" w:eastAsia="zh-CN"/>
        </w:rPr>
        <w:t>220千伏平坡站增容改造工程</w:t>
      </w:r>
      <w:r>
        <w:rPr>
          <w:rFonts w:hint="eastAsia" w:ascii="方正小标宋简体" w:hAnsi="方正小标宋简体" w:eastAsia="方正小标宋简体" w:cs="方正小标宋简体"/>
          <w:color w:val="000000"/>
          <w:kern w:val="0"/>
          <w:sz w:val="44"/>
          <w:szCs w:val="44"/>
          <w:lang w:val="en-US" w:eastAsia="zh-CN" w:bidi="ar"/>
        </w:rPr>
        <w:t>项目</w:t>
      </w:r>
      <w:r>
        <w:rPr>
          <w:rFonts w:hint="eastAsia" w:ascii="方正小标宋简体" w:hAnsi="方正小标宋简体" w:eastAsia="方正小标宋简体" w:cs="方正小标宋简体"/>
          <w:kern w:val="44"/>
          <w:sz w:val="44"/>
          <w:szCs w:val="44"/>
        </w:rPr>
        <w:t>核准的批复</w:t>
      </w:r>
    </w:p>
    <w:p w14:paraId="1F77D42A">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1AAE4C45">
      <w:pPr>
        <w:adjustRightInd w:val="0"/>
        <w:snapToGrid w:val="0"/>
        <w:spacing w:line="640" w:lineRule="exact"/>
        <w:ind w:right="128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eastAsia="仿宋_GB2312" w:cs="Times New Roman"/>
          <w:snapToGrid w:val="0"/>
          <w:color w:val="000000" w:themeColor="text1"/>
          <w:kern w:val="0"/>
          <w:sz w:val="32"/>
          <w:szCs w:val="32"/>
          <w:lang w:eastAsia="zh-CN"/>
          <w14:textFill>
            <w14:solidFill>
              <w14:schemeClr w14:val="tx1"/>
            </w14:solidFill>
          </w14:textFill>
        </w:rPr>
        <w:t>容县发展和改革</w:t>
      </w:r>
      <w:r>
        <w:rPr>
          <w:rFonts w:hint="eastAsia" w:ascii="仿宋_GB2312" w:hAnsi="Times New Roman" w:eastAsia="仿宋_GB2312" w:cs="Times New Roman"/>
          <w:snapToGrid w:val="0"/>
          <w:color w:val="000000" w:themeColor="text1"/>
          <w:kern w:val="0"/>
          <w:sz w:val="32"/>
          <w:szCs w:val="32"/>
          <w14:textFill>
            <w14:solidFill>
              <w14:schemeClr w14:val="tx1"/>
            </w14:solidFill>
          </w14:textFill>
        </w:rPr>
        <w:t>局：</w:t>
      </w:r>
    </w:p>
    <w:p w14:paraId="68A45AC9">
      <w:pPr>
        <w:keepNext w:val="0"/>
        <w:keepLines w:val="0"/>
        <w:widowControl/>
        <w:suppressLineNumbers w:val="0"/>
        <w:jc w:val="left"/>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报来《</w:t>
      </w:r>
      <w:r>
        <w:rPr>
          <w:rFonts w:hint="eastAsia" w:ascii="仿宋_GB2312" w:eastAsia="仿宋_GB2312" w:cs="Times New Roman"/>
          <w:snapToGrid w:val="0"/>
          <w:color w:val="000000" w:themeColor="text1"/>
          <w:kern w:val="0"/>
          <w:sz w:val="32"/>
          <w:szCs w:val="32"/>
          <w:lang w:eastAsia="zh-CN"/>
          <w14:textFill>
            <w14:solidFill>
              <w14:schemeClr w14:val="tx1"/>
            </w14:solidFill>
          </w14:textFill>
        </w:rPr>
        <w:t>容县发展和改革</w:t>
      </w:r>
      <w:r>
        <w:rPr>
          <w:rFonts w:hint="eastAsia" w:ascii="仿宋_GB2312" w:hAnsi="Times New Roman" w:eastAsia="仿宋_GB2312" w:cs="Times New Roman"/>
          <w:snapToGrid w:val="0"/>
          <w:color w:val="000000" w:themeColor="text1"/>
          <w:kern w:val="0"/>
          <w:sz w:val="32"/>
          <w:szCs w:val="32"/>
          <w14:textFill>
            <w14:solidFill>
              <w14:schemeClr w14:val="tx1"/>
            </w14:solidFill>
          </w14:textFill>
        </w:rPr>
        <w:t>局</w:t>
      </w:r>
      <w:r>
        <w:rPr>
          <w:rFonts w:hint="eastAsia" w:ascii="仿宋_GB2312" w:hAnsi="Times New Roman" w:eastAsia="仿宋_GB2312" w:cs="Times New Roman"/>
          <w:color w:val="000000" w:themeColor="text1"/>
          <w:sz w:val="32"/>
          <w:szCs w:val="32"/>
          <w14:textFill>
            <w14:solidFill>
              <w14:schemeClr w14:val="tx1"/>
            </w14:solidFill>
          </w14:textFill>
        </w:rPr>
        <w:t>关于核准</w:t>
      </w:r>
      <w:r>
        <w:rPr>
          <w:rFonts w:hint="eastAsia" w:ascii="仿宋_GB2312" w:hAnsi="仿宋_GB2312" w:eastAsia="仿宋_GB2312" w:cs="仿宋_GB2312"/>
          <w:b w:val="0"/>
          <w:bCs w:val="0"/>
          <w:sz w:val="32"/>
          <w:szCs w:val="32"/>
          <w:lang w:val="en-US" w:eastAsia="zh-CN"/>
        </w:rPr>
        <w:t>220千伏平坡站增容改造工程</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项目</w:t>
      </w:r>
      <w:r>
        <w:rPr>
          <w:rFonts w:hint="eastAsia" w:ascii="仿宋_GB2312" w:hAnsi="Times New Roman" w:eastAsia="仿宋_GB2312" w:cs="Times New Roman"/>
          <w:color w:val="000000" w:themeColor="text1"/>
          <w:sz w:val="32"/>
          <w:szCs w:val="32"/>
          <w14:textFill>
            <w14:solidFill>
              <w14:schemeClr w14:val="tx1"/>
            </w14:solidFill>
          </w14:textFill>
        </w:rPr>
        <w:t>的请示》（</w:t>
      </w:r>
      <w:r>
        <w:rPr>
          <w:rFonts w:hint="eastAsia" w:ascii="仿宋_GB2312" w:eastAsia="仿宋_GB2312" w:cs="Times New Roman"/>
          <w:color w:val="000000" w:themeColor="text1"/>
          <w:sz w:val="32"/>
          <w:szCs w:val="32"/>
          <w:lang w:eastAsia="zh-CN"/>
          <w14:textFill>
            <w14:solidFill>
              <w14:schemeClr w14:val="tx1"/>
            </w14:solidFill>
          </w14:textFill>
        </w:rPr>
        <w:t>容发改报</w:t>
      </w:r>
      <w:r>
        <w:rPr>
          <w:rFonts w:hint="eastAsia" w:ascii="仿宋_GB2312" w:hAnsi="Times New Roman" w:eastAsia="仿宋_GB2312" w:cs="Times New Roman"/>
          <w:color w:val="000000" w:themeColor="text1"/>
          <w:sz w:val="32"/>
          <w:szCs w:val="32"/>
          <w14:textFill>
            <w14:solidFill>
              <w14:schemeClr w14:val="tx1"/>
            </w14:solidFill>
          </w14:textFill>
        </w:rPr>
        <w:t>〔2025〕</w:t>
      </w:r>
      <w:r>
        <w:rPr>
          <w:rFonts w:hint="eastAsia" w:ascii="仿宋_GB2312" w:eastAsia="仿宋_GB2312" w:cs="Times New Roman"/>
          <w:color w:val="000000" w:themeColor="text1"/>
          <w:sz w:val="32"/>
          <w:szCs w:val="32"/>
          <w:lang w:val="en-US" w:eastAsia="zh-CN"/>
          <w14:textFill>
            <w14:solidFill>
              <w14:schemeClr w14:val="tx1"/>
            </w14:solidFill>
          </w14:textFill>
        </w:rPr>
        <w:t>251</w:t>
      </w:r>
      <w:r>
        <w:rPr>
          <w:rFonts w:hint="eastAsia" w:ascii="仿宋_GB2312" w:hAnsi="Times New Roman" w:eastAsia="仿宋_GB2312" w:cs="Times New Roman"/>
          <w:color w:val="000000" w:themeColor="text1"/>
          <w:sz w:val="32"/>
          <w:szCs w:val="32"/>
          <w14:textFill>
            <w14:solidFill>
              <w14:schemeClr w14:val="tx1"/>
            </w14:solidFill>
          </w14:textFill>
        </w:rPr>
        <w:t>号）及相关材料收悉。经研究，现将该项目核准事项批复如下：</w:t>
      </w:r>
    </w:p>
    <w:p w14:paraId="3D02F393">
      <w:pPr>
        <w:keepNext w:val="0"/>
        <w:keepLines w:val="0"/>
        <w:widowControl/>
        <w:suppressLineNumbers w:val="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一、</w:t>
      </w:r>
      <w:r>
        <w:rPr>
          <w:rFonts w:hint="eastAsia" w:ascii="仿宋_GB2312" w:hAnsi="仿宋_GB2312" w:eastAsia="仿宋_GB2312" w:cs="仿宋_GB2312"/>
          <w:b w:val="0"/>
          <w:bCs w:val="0"/>
          <w:sz w:val="32"/>
          <w:szCs w:val="32"/>
          <w:lang w:val="en-US" w:eastAsia="zh-CN"/>
        </w:rPr>
        <w:t>为满足容县负荷发展的需要，解决220千伏平坡站主变重过载运行问题，提高供电可靠性，</w:t>
      </w:r>
      <w:r>
        <w:rPr>
          <w:rFonts w:hint="eastAsia" w:ascii="仿宋_GB2312" w:hAnsi="Times New Roman" w:eastAsia="仿宋_GB2312" w:cs="Times New Roman"/>
          <w:color w:val="000000" w:themeColor="text1"/>
          <w:sz w:val="32"/>
          <w:szCs w:val="32"/>
          <w14:textFill>
            <w14:solidFill>
              <w14:schemeClr w14:val="tx1"/>
            </w14:solidFill>
          </w14:textFill>
        </w:rPr>
        <w:t>依据《行政许可法》《企业投资项目</w:t>
      </w:r>
      <w:r>
        <w:rPr>
          <w:rFonts w:hint="eastAsia" w:ascii="仿宋_GB2312" w:hAnsi="仿宋_GB2312" w:eastAsia="仿宋_GB2312" w:cs="仿宋_GB2312"/>
          <w:color w:val="000000" w:themeColor="text1"/>
          <w:sz w:val="32"/>
          <w:szCs w:val="32"/>
          <w14:textFill>
            <w14:solidFill>
              <w14:schemeClr w14:val="tx1"/>
            </w14:solidFill>
          </w14:textFill>
        </w:rPr>
        <w:t>核准和备案管理条例》《企业投资项目核准和备案管理办法》，原则同意建设</w:t>
      </w:r>
      <w:r>
        <w:rPr>
          <w:rFonts w:hint="eastAsia" w:ascii="仿宋_GB2312" w:hAnsi="仿宋_GB2312" w:eastAsia="仿宋_GB2312" w:cs="仿宋_GB2312"/>
          <w:b w:val="0"/>
          <w:bCs w:val="0"/>
          <w:sz w:val="32"/>
          <w:szCs w:val="32"/>
          <w:lang w:val="en-US" w:eastAsia="zh-CN"/>
        </w:rPr>
        <w:t>220千伏平坡站增容改造工程</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项目</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14:paraId="0A4B2964">
      <w:pPr>
        <w:keepNext w:val="0"/>
        <w:keepLines w:val="0"/>
        <w:widowControl/>
        <w:suppressLineNumbers w:val="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二、项目代码：</w:t>
      </w:r>
      <w:r>
        <w:rPr>
          <w:rFonts w:hint="eastAsia" w:ascii="仿宋_GB2312" w:hAnsi="仿宋_GB2312" w:eastAsia="仿宋_GB2312" w:cs="仿宋_GB2312"/>
          <w:b w:val="0"/>
          <w:bCs w:val="0"/>
          <w:sz w:val="32"/>
          <w:szCs w:val="32"/>
          <w:lang w:val="en-US" w:eastAsia="zh-CN"/>
        </w:rPr>
        <w:t>2512-450900-04-01-860059</w:t>
      </w:r>
      <w:r>
        <w:rPr>
          <w:rFonts w:ascii="仿宋" w:hAnsi="仿宋" w:eastAsia="仿宋" w:cs="仿宋"/>
          <w:color w:val="000000" w:themeColor="text1"/>
          <w:kern w:val="0"/>
          <w:sz w:val="31"/>
          <w:szCs w:val="31"/>
          <w:lang w:val="en-US" w:eastAsia="zh-CN" w:bidi="ar"/>
          <w14:textFill>
            <w14:solidFill>
              <w14:schemeClr w14:val="tx1"/>
            </w14:solidFill>
          </w14:textFill>
        </w:rPr>
        <w:t>。</w:t>
      </w:r>
    </w:p>
    <w:p w14:paraId="215F9676">
      <w:pPr>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三、项目建设单位：</w:t>
      </w:r>
      <w:r>
        <w:rPr>
          <w:rFonts w:hint="eastAsia" w:ascii="仿宋_GB2312" w:hAnsi="仿宋_GB2312" w:eastAsia="仿宋_GB2312" w:cs="仿宋_GB2312"/>
          <w:b w:val="0"/>
          <w:bCs w:val="0"/>
          <w:sz w:val="32"/>
          <w:szCs w:val="32"/>
          <w:lang w:val="en-US" w:eastAsia="zh-CN"/>
        </w:rPr>
        <w:t>广西新电力投资集团有限责任公司</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54DE114E">
      <w:pPr>
        <w:keepNext w:val="0"/>
        <w:keepLines w:val="0"/>
        <w:widowControl/>
        <w:suppressLineNumbers w:val="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四、项目建设地点：</w:t>
      </w:r>
      <w:r>
        <w:rPr>
          <w:rFonts w:hint="eastAsia" w:ascii="仿宋_GB2312" w:hAnsi="仿宋_GB2312" w:eastAsia="仿宋_GB2312" w:cs="仿宋_GB2312"/>
          <w:b w:val="0"/>
          <w:bCs w:val="0"/>
          <w:sz w:val="32"/>
          <w:szCs w:val="32"/>
          <w:lang w:val="en-US" w:eastAsia="zh-CN"/>
        </w:rPr>
        <w:t>玉林市容县容州镇220千伏平坡站内</w:t>
      </w:r>
      <w:r>
        <w:rPr>
          <w:rFonts w:hint="eastAsia" w:ascii="仿宋_GB2312" w:hAnsi="Times New Roman" w:eastAsia="仿宋_GB2312" w:cs="Times New Roman"/>
          <w:color w:val="000000" w:themeColor="text1"/>
          <w:kern w:val="0"/>
          <w:sz w:val="32"/>
          <w:szCs w:val="32"/>
          <w14:textFill>
            <w14:solidFill>
              <w14:schemeClr w14:val="tx1"/>
            </w14:solidFill>
          </w14:textFill>
        </w:rPr>
        <w:t>。</w:t>
      </w:r>
    </w:p>
    <w:p w14:paraId="297EC61E">
      <w:pPr>
        <w:keepNext w:val="0"/>
        <w:keepLines w:val="0"/>
        <w:widowControl/>
        <w:suppressLineNumbers w:val="0"/>
        <w:jc w:val="left"/>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五、项目建设规模及主要内容：</w:t>
      </w:r>
      <w:bookmarkStart w:id="0" w:name="_Toc1995_WPSOffice_Level3"/>
      <w:bookmarkStart w:id="1" w:name="_Toc9123"/>
      <w:bookmarkStart w:id="2" w:name="_Toc6301"/>
      <w:bookmarkStart w:id="3" w:name="_Toc29109_WPSOffice_Level3"/>
      <w:bookmarkStart w:id="4" w:name="_Toc14574"/>
      <w:bookmarkStart w:id="5" w:name="_Toc103065871"/>
      <w:bookmarkStart w:id="6" w:name="_Toc102_WPSOffice_Level3"/>
    </w:p>
    <w:p w14:paraId="4825AB5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主变压器:终期2台，前期(1×120+1×180)兆伏安，本期拆除#1主变(1×120兆伏安)并新增1×180兆伏安；220千伏出线:终期5回，前期4回(电气备用1回，其他工程新增1 回)，本期不新增；110千伏出线:终期8回，前期7回(电气备用2回)，本期不新增；10千伏出线:终期16回，前期16 回(其他工程新增4回)，本期不新增；10千伏并联电容器: 终期改为3+4组，前期(1×6+1×8+1×10+3×8)兆乏，本期新增1×8兆乏。 </w:t>
      </w:r>
    </w:p>
    <w:p w14:paraId="4286F1C8">
      <w:pPr>
        <w:keepNext w:val="0"/>
        <w:keepLines w:val="0"/>
        <w:widowControl/>
        <w:suppressLineNumbers w:val="0"/>
        <w:ind w:firstLine="640" w:firstLineChars="200"/>
        <w:jc w:val="left"/>
        <w:rPr>
          <w:rFonts w:ascii="Times New Roman" w:hAnsi="Times New Roman" w:eastAsia="宋体" w:cs="Times New Roman"/>
          <w:color w:val="000000" w:themeColor="text1"/>
          <w14:textFill>
            <w14:solidFill>
              <w14:schemeClr w14:val="tx1"/>
            </w14:solidFill>
          </w14:textFill>
        </w:rPr>
      </w:pPr>
      <w:r>
        <w:rPr>
          <w:rFonts w:hint="eastAsia" w:ascii="仿宋_GB2312" w:hAnsi="仿宋_GB2312" w:eastAsia="仿宋_GB2312" w:cs="仿宋_GB2312"/>
          <w:sz w:val="32"/>
          <w:szCs w:val="32"/>
          <w:lang w:val="en-US" w:eastAsia="zh-CN"/>
        </w:rPr>
        <w:t>本工程在变电站围墙内进行增容扩建，无需新征用地，维持前期采用户外AIS变电站布置</w:t>
      </w:r>
      <w:r>
        <w:rPr>
          <w:rFonts w:hint="eastAsia" w:ascii="仿宋_GB2312" w:hAnsi="宋体" w:eastAsia="仿宋_GB2312" w:cs="宋体"/>
          <w:sz w:val="32"/>
          <w:szCs w:val="32"/>
          <w:lang w:val="zh-CN"/>
        </w:rPr>
        <w:t>。</w:t>
      </w:r>
    </w:p>
    <w:p w14:paraId="0A437607">
      <w:pPr>
        <w:keepNext w:val="0"/>
        <w:keepLines w:val="0"/>
        <w:widowControl/>
        <w:suppressLineNumbers w:val="0"/>
        <w:jc w:val="left"/>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lang w:eastAsia="zh-CN"/>
          <w14:textFill>
            <w14:solidFill>
              <w14:schemeClr w14:val="tx1"/>
            </w14:solidFill>
          </w14:textFill>
        </w:rPr>
        <w:t>　　</w:t>
      </w:r>
      <w:r>
        <w:rPr>
          <w:rFonts w:hint="eastAsia" w:ascii="仿宋_GB2312" w:hAnsi="宋体" w:eastAsia="仿宋_GB2312" w:cs="宋体"/>
          <w:bCs/>
          <w:color w:val="000000" w:themeColor="text1"/>
          <w:sz w:val="32"/>
          <w:szCs w:val="32"/>
          <w14:textFill>
            <w14:solidFill>
              <w14:schemeClr w14:val="tx1"/>
            </w14:solidFill>
          </w14:textFill>
        </w:rPr>
        <w:t>六、</w:t>
      </w:r>
      <w:r>
        <w:rPr>
          <w:rFonts w:hint="eastAsia" w:ascii="仿宋_GB2312" w:hAnsi="宋体" w:eastAsia="仿宋_GB2312" w:cs="宋体"/>
          <w:bCs/>
          <w:color w:val="000000" w:themeColor="text1"/>
          <w:sz w:val="32"/>
          <w:szCs w:val="32"/>
          <w:lang w:eastAsia="zh-CN"/>
          <w14:textFill>
            <w14:solidFill>
              <w14:schemeClr w14:val="tx1"/>
            </w14:solidFill>
          </w14:textFill>
        </w:rPr>
        <w:t>项目</w:t>
      </w:r>
      <w:r>
        <w:rPr>
          <w:rFonts w:hint="eastAsia" w:ascii="仿宋_GB2312" w:hAnsi="宋体" w:eastAsia="仿宋_GB2312" w:cs="宋体"/>
          <w:bCs/>
          <w:color w:val="000000" w:themeColor="text1"/>
          <w:sz w:val="32"/>
          <w:szCs w:val="32"/>
          <w14:textFill>
            <w14:solidFill>
              <w14:schemeClr w14:val="tx1"/>
            </w14:solidFill>
          </w14:textFill>
        </w:rPr>
        <w:t>估算</w:t>
      </w:r>
      <w:r>
        <w:rPr>
          <w:rFonts w:hint="eastAsia" w:ascii="仿宋_GB2312" w:hAnsi="宋体" w:eastAsia="仿宋_GB2312" w:cs="宋体"/>
          <w:bCs/>
          <w:color w:val="000000" w:themeColor="text1"/>
          <w:sz w:val="32"/>
          <w:szCs w:val="32"/>
          <w:lang w:eastAsia="zh-CN"/>
          <w14:textFill>
            <w14:solidFill>
              <w14:schemeClr w14:val="tx1"/>
            </w14:solidFill>
          </w14:textFill>
        </w:rPr>
        <w:t>总</w:t>
      </w:r>
      <w:r>
        <w:rPr>
          <w:rFonts w:hint="eastAsia" w:ascii="仿宋_GB2312" w:hAnsi="宋体" w:eastAsia="仿宋_GB2312" w:cs="宋体"/>
          <w:bCs/>
          <w:color w:val="000000" w:themeColor="text1"/>
          <w:sz w:val="32"/>
          <w:szCs w:val="32"/>
          <w14:textFill>
            <w14:solidFill>
              <w14:schemeClr w14:val="tx1"/>
            </w14:solidFill>
          </w14:textFill>
        </w:rPr>
        <w:t>投资和资金来源</w:t>
      </w:r>
      <w:bookmarkEnd w:id="0"/>
      <w:bookmarkEnd w:id="1"/>
      <w:bookmarkEnd w:id="2"/>
      <w:bookmarkEnd w:id="3"/>
      <w:bookmarkEnd w:id="4"/>
      <w:bookmarkEnd w:id="5"/>
      <w:bookmarkEnd w:id="6"/>
      <w:r>
        <w:rPr>
          <w:rFonts w:hint="eastAsia" w:ascii="仿宋_GB2312" w:hAnsi="宋体" w:eastAsia="仿宋_GB2312" w:cs="宋体"/>
          <w:bCs/>
          <w:color w:val="000000" w:themeColor="text1"/>
          <w:sz w:val="32"/>
          <w:szCs w:val="32"/>
          <w14:textFill>
            <w14:solidFill>
              <w14:schemeClr w14:val="tx1"/>
            </w14:solidFill>
          </w14:textFill>
        </w:rPr>
        <w:t>：</w:t>
      </w:r>
      <w:r>
        <w:rPr>
          <w:rFonts w:hint="eastAsia" w:ascii="仿宋_GB2312" w:hAnsi="宋体" w:eastAsia="仿宋_GB2312"/>
          <w:sz w:val="32"/>
          <w:szCs w:val="32"/>
        </w:rPr>
        <w:t>项目</w:t>
      </w:r>
      <w:r>
        <w:rPr>
          <w:rFonts w:hint="eastAsia" w:ascii="仿宋_GB2312" w:hAnsi="仿宋_GB2312" w:eastAsia="仿宋_GB2312" w:cs="仿宋_GB2312"/>
          <w:sz w:val="32"/>
          <w:szCs w:val="32"/>
          <w:lang w:val="en-US" w:eastAsia="zh-CN"/>
        </w:rPr>
        <w:t xml:space="preserve">静态总投资1289万元，动态总投资1298万元。建设单位出资260万元(占动态投资的20%), </w:t>
      </w:r>
      <w:r>
        <w:rPr>
          <w:rFonts w:hint="eastAsia" w:ascii="仿宋_GB2312" w:hAnsi="仿宋_GB2312" w:eastAsia="仿宋_GB2312" w:cs="仿宋_GB2312"/>
          <w:sz w:val="32"/>
          <w:szCs w:val="32"/>
          <w:lang w:eastAsia="zh-CN"/>
        </w:rPr>
        <w:t>其余1038万元向商业银行贷款解决</w:t>
      </w:r>
      <w:r>
        <w:rPr>
          <w:rFonts w:hint="eastAsia" w:ascii="仿宋_GB2312" w:hAnsi="宋体" w:eastAsia="仿宋_GB2312" w:cs="宋体"/>
          <w:bCs/>
          <w:color w:val="000000" w:themeColor="text1"/>
          <w:sz w:val="32"/>
          <w:szCs w:val="32"/>
          <w14:textFill>
            <w14:solidFill>
              <w14:schemeClr w14:val="tx1"/>
            </w14:solidFill>
          </w14:textFill>
        </w:rPr>
        <w:t>。</w:t>
      </w:r>
    </w:p>
    <w:p w14:paraId="7A917750">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工程建设及运行应满足国家环保标准，在技术方案和导线、材料选择等方面要充分考虑节能因素，采取有效措施节能降耗，采用节能、降耗、节水、环保的先进技术设备和产品，满足国家节能要求。加强施工、运营期间的组织管理，把环境和生态保护、集约和节约用地、节能减排以及各项安全措施等工作落实到位。严格执行主体工程与环保工程同时设计、同时施工、同时投入运行的规定。根据《国家发展改革委关于印发〈不单独进行节能审查的行业目录〉的通知》（发改环资规〔2017〕1975号）文件的规定，本项目不再单独进行节能审查。</w:t>
      </w:r>
    </w:p>
    <w:p w14:paraId="131B10EF">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八、请项目建设单位严格执行国家及自治区有关招标投标的规定，按照本批复所附《招标事项核准意见表》的要求，依法开展项目招标工作。</w:t>
      </w:r>
    </w:p>
    <w:p w14:paraId="37D1A6E2">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按照相关法律、行政法规的规定，核准项目的相关依据是《广西壮族自治区能源局关于加强电网规划建设工作的通知》(桂能电力〔2025〕234号）、《平坡站不动产权证-容县桂（2020）第0005676号》及广西电网有限责任公司《关于玉林市220千伏平坡站增容改造工程可行性研究报告的批复》等文件。</w:t>
      </w:r>
    </w:p>
    <w:p w14:paraId="7A3ACAC4">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十、如需对本项目核准文件所规定的有关内容进行调整，请按照《企业投资项目核准和备案管理办法》的有关规定，及时提出变更申请，我委将根据项目具体情况，出具是否同意变更的书面决定。</w:t>
      </w:r>
    </w:p>
    <w:p w14:paraId="1B2678E7">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十一、请项目建设单位在项目开工建设前，依据相关法律、行政法规规定办理规划许可、土地使用、资源利用、节能、安全生产、环评等相关报建手续。</w:t>
      </w:r>
    </w:p>
    <w:p w14:paraId="422263D9">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项目建设单位要切实抓好建设安全管理工作，严格执行国家安全生产法律法规及行业规章制度，确保安全生产责任落实到位，杜绝发生安全事故。要按照《建设工程质量管理条例》（国务院令第279号）、《国家能源局关于进一步明确电力建设工程质量监督机构业务工作的通知》（国能函安全〔2020〕39号）和国家能源局有关规定，及时向电力质监机构办理质量监督注册手续、自觉接受质量监督检查。</w:t>
      </w:r>
    </w:p>
    <w:p w14:paraId="6AC0ADDB">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项目业主应切实履行安全生产主体责任，做好施工安全管理和工程质量管控等各项工作，有效防范安全生产和质量事故的发生，我委就项目在安全管理和质量管控等方面需要履行的相关责任和义务进行书面告知。</w:t>
      </w:r>
    </w:p>
    <w:p w14:paraId="7C9E293C">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项目予以核准决定之日起2年未开工建设，需要延期开工建设的，请项目建设单位在2年期限届满的30个工作日前，向我委申请延期开工建设。开工建设只能延期一次，延期最长不超过1年。国家对项目延期开工建设另有规定的，依照其规定，其他未详事项，严格按照有关法律法规规章执行。</w:t>
      </w:r>
    </w:p>
    <w:p w14:paraId="3A2FD5F7">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p>
    <w:p w14:paraId="62F6AD6D">
      <w:pPr>
        <w:spacing w:line="640" w:lineRule="exact"/>
        <w:ind w:left="319" w:leftChars="152"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黑体" w:eastAsia="仿宋_GB2312" w:cs="Times New Roman"/>
          <w:color w:val="000000" w:themeColor="text1"/>
          <w:sz w:val="32"/>
          <w:szCs w:val="32"/>
          <w14:textFill>
            <w14:solidFill>
              <w14:schemeClr w14:val="tx1"/>
            </w14:solidFill>
          </w14:textFill>
        </w:rPr>
        <w:t>附件：</w:t>
      </w:r>
      <w:r>
        <w:rPr>
          <w:rFonts w:hint="eastAsia" w:ascii="仿宋_GB2312" w:hAnsi="Times New Roman" w:eastAsia="仿宋_GB2312" w:cs="Times New Roman"/>
          <w:color w:val="000000" w:themeColor="text1"/>
          <w:sz w:val="32"/>
          <w:szCs w:val="32"/>
          <w14:textFill>
            <w14:solidFill>
              <w14:schemeClr w14:val="tx1"/>
            </w14:solidFill>
          </w14:textFill>
        </w:rPr>
        <w:t>1、招标事项核准意见表</w:t>
      </w:r>
    </w:p>
    <w:p w14:paraId="0593B797">
      <w:pPr>
        <w:spacing w:line="640" w:lineRule="exact"/>
        <w:ind w:left="319" w:leftChars="152" w:firstLine="1600" w:firstLineChars="5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2、电力项目安全管理和质量管控事项告知书</w:t>
      </w:r>
    </w:p>
    <w:p w14:paraId="39F0123A">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00A0224D">
      <w:pPr>
        <w:spacing w:line="580" w:lineRule="exact"/>
        <w:rPr>
          <w:rFonts w:ascii="仿宋_GB2312" w:hAnsi="黑体" w:eastAsia="仿宋_GB2312" w:cs="Times New Roman"/>
          <w:color w:val="000000" w:themeColor="text1"/>
          <w:sz w:val="32"/>
          <w:szCs w:val="32"/>
          <w14:textFill>
            <w14:solidFill>
              <w14:schemeClr w14:val="tx1"/>
            </w14:solidFill>
          </w14:textFill>
        </w:rPr>
      </w:pPr>
    </w:p>
    <w:p w14:paraId="4A127B2F">
      <w:pPr>
        <w:spacing w:line="580" w:lineRule="exact"/>
        <w:ind w:firstLine="3520" w:firstLineChars="11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玉林市发展和改革委员会</w:t>
      </w:r>
    </w:p>
    <w:p w14:paraId="4B3A1DBB">
      <w:pPr>
        <w:keepNext w:val="0"/>
        <w:keepLines w:val="0"/>
        <w:pageBreakBefore w:val="0"/>
        <w:widowControl w:val="0"/>
        <w:kinsoku/>
        <w:wordWrap/>
        <w:overflowPunct/>
        <w:topLinePunct w:val="0"/>
        <w:bidi w:val="0"/>
        <w:snapToGrid/>
        <w:spacing w:line="520" w:lineRule="exact"/>
        <w:ind w:firstLine="4160" w:firstLineChars="1300"/>
        <w:textAlignment w:val="auto"/>
        <w:rPr>
          <w:rFonts w:ascii="仿宋_GB2312" w:hAnsi="仿宋" w:eastAsia="仿宋_GB2312"/>
          <w:sz w:val="32"/>
          <w:szCs w:val="32"/>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2025年12月31日</w:t>
      </w:r>
    </w:p>
    <w:p w14:paraId="5DFF29C4">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4F1E4EB">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77789F2">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2D3CB73">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77A4A1C8">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6A06154">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71AE92FC">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CB6E8AD">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368CF56">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FF34A6C">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AF43F7A">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ACC2F97">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922468B">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E70EDFB">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E46F9A8">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2624F10D">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6D88D26">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F5A6C94">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4AE5280">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01ED4CE9">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DB78376">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A25C563">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A3F4722">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8645CF3">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5489D10F">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5623BA3">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6BE4F27">
      <w:pPr>
        <w:pStyle w:val="31"/>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tbl>
      <w:tblPr>
        <w:tblStyle w:val="14"/>
        <w:tblW w:w="5153"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9"/>
        <w:gridCol w:w="4929"/>
      </w:tblGrid>
      <w:tr w14:paraId="118795C6">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84" w:hRule="atLeast"/>
        </w:trPr>
        <w:tc>
          <w:tcPr>
            <w:tcW w:w="2360" w:type="pct"/>
            <w:tcBorders>
              <w:bottom w:val="single" w:color="auto" w:sz="8" w:space="0"/>
            </w:tcBorders>
          </w:tcPr>
          <w:p w14:paraId="07466503">
            <w:pPr>
              <w:spacing w:line="240" w:lineRule="atLeast"/>
              <w:ind w:firstLine="280" w:firstLineChars="100"/>
              <w:rPr>
                <w:rFonts w:ascii="仿宋_GB2312" w:hAnsi="华文中宋" w:eastAsia="仿宋_GB2312"/>
                <w:sz w:val="28"/>
                <w:szCs w:val="28"/>
              </w:rPr>
            </w:pPr>
            <w:r>
              <w:rPr>
                <w:rFonts w:hint="eastAsia" w:ascii="仿宋_GB2312" w:hAnsi="华文中宋" w:eastAsia="仿宋_GB2312"/>
                <w:sz w:val="28"/>
                <w:szCs w:val="28"/>
              </w:rPr>
              <w:t>玉林市发展和改革委员会</w:t>
            </w:r>
          </w:p>
        </w:tc>
        <w:tc>
          <w:tcPr>
            <w:tcW w:w="2639" w:type="pct"/>
            <w:tcBorders>
              <w:bottom w:val="single" w:color="auto" w:sz="8" w:space="0"/>
            </w:tcBorders>
          </w:tcPr>
          <w:p w14:paraId="76E42DB3">
            <w:pPr>
              <w:wordWrap w:val="0"/>
              <w:spacing w:line="240" w:lineRule="atLeast"/>
              <w:jc w:val="right"/>
              <w:rPr>
                <w:rFonts w:ascii="仿宋_GB2312" w:hAnsi="华文中宋" w:eastAsia="仿宋_GB2312"/>
                <w:sz w:val="28"/>
                <w:szCs w:val="28"/>
              </w:rPr>
            </w:pPr>
            <w:r>
              <w:rPr>
                <w:rFonts w:hint="eastAsia" w:ascii="仿宋_GB2312" w:hAnsi="华文中宋" w:eastAsia="仿宋_GB2312"/>
                <w:sz w:val="28"/>
                <w:szCs w:val="28"/>
              </w:rPr>
              <w:t xml:space="preserve">  </w:t>
            </w:r>
            <w:r>
              <w:rPr>
                <w:rFonts w:ascii="仿宋_GB2312" w:hAnsi="华文中宋" w:eastAsia="仿宋_GB2312"/>
                <w:sz w:val="28"/>
                <w:szCs w:val="28"/>
              </w:rPr>
              <w:t>20</w:t>
            </w:r>
            <w:r>
              <w:rPr>
                <w:rFonts w:hint="eastAsia" w:ascii="仿宋_GB2312" w:hAnsi="华文中宋" w:eastAsia="仿宋_GB2312"/>
                <w:sz w:val="28"/>
                <w:szCs w:val="28"/>
              </w:rPr>
              <w:t>2</w:t>
            </w:r>
            <w:r>
              <w:rPr>
                <w:rFonts w:hint="eastAsia" w:ascii="仿宋_GB2312" w:hAnsi="华文中宋" w:eastAsia="仿宋_GB2312"/>
                <w:sz w:val="28"/>
                <w:szCs w:val="28"/>
                <w:lang w:val="en-US" w:eastAsia="zh-CN"/>
              </w:rPr>
              <w:t>5</w:t>
            </w:r>
            <w:r>
              <w:rPr>
                <w:rFonts w:ascii="仿宋_GB2312" w:hAnsi="华文中宋" w:eastAsia="仿宋_GB2312"/>
                <w:sz w:val="28"/>
                <w:szCs w:val="28"/>
              </w:rPr>
              <w:t>年</w:t>
            </w:r>
            <w:r>
              <w:rPr>
                <w:rFonts w:hint="eastAsia" w:ascii="仿宋_GB2312" w:hAnsi="华文中宋" w:eastAsia="仿宋_GB2312"/>
                <w:sz w:val="28"/>
                <w:szCs w:val="28"/>
                <w:lang w:val="en-US" w:eastAsia="zh-CN"/>
              </w:rPr>
              <w:t>12</w:t>
            </w:r>
            <w:r>
              <w:rPr>
                <w:rFonts w:ascii="仿宋_GB2312" w:hAnsi="华文中宋" w:eastAsia="仿宋_GB2312"/>
                <w:sz w:val="28"/>
                <w:szCs w:val="28"/>
              </w:rPr>
              <w:t>月</w:t>
            </w:r>
            <w:r>
              <w:rPr>
                <w:rFonts w:hint="eastAsia" w:ascii="仿宋_GB2312" w:hAnsi="华文中宋" w:eastAsia="仿宋_GB2312"/>
                <w:sz w:val="28"/>
                <w:szCs w:val="28"/>
                <w:lang w:val="en-US" w:eastAsia="zh-CN"/>
              </w:rPr>
              <w:t>31</w:t>
            </w:r>
            <w:r>
              <w:rPr>
                <w:rFonts w:ascii="仿宋_GB2312" w:hAnsi="华文中宋" w:eastAsia="仿宋_GB2312"/>
                <w:sz w:val="28"/>
                <w:szCs w:val="28"/>
              </w:rPr>
              <w:t>日</w:t>
            </w:r>
            <w:r>
              <w:rPr>
                <w:rFonts w:hint="eastAsia" w:ascii="仿宋_GB2312" w:hAnsi="华文中宋" w:eastAsia="仿宋_GB2312"/>
                <w:sz w:val="28"/>
                <w:szCs w:val="28"/>
              </w:rPr>
              <w:t xml:space="preserve"> 印发  </w:t>
            </w:r>
          </w:p>
        </w:tc>
      </w:tr>
    </w:tbl>
    <w:p w14:paraId="1C9465DF">
      <w:pPr>
        <w:spacing w:afterLines="100"/>
        <w:jc w:val="left"/>
        <w:rPr>
          <w:rFonts w:hint="eastAsia" w:ascii="宋体" w:hAnsi="宋体" w:eastAsia="宋体" w:cs="Times New Roman"/>
          <w:color w:val="000000" w:themeColor="text1"/>
          <w:sz w:val="28"/>
          <w14:textFill>
            <w14:solidFill>
              <w14:schemeClr w14:val="tx1"/>
            </w14:solidFill>
          </w14:textFill>
        </w:rPr>
      </w:pPr>
    </w:p>
    <w:p w14:paraId="08BF6C68">
      <w:pPr>
        <w:spacing w:afterLines="100"/>
        <w:jc w:val="lef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附件1</w:t>
      </w:r>
    </w:p>
    <w:p w14:paraId="367FA347">
      <w:pPr>
        <w:spacing w:afterLines="50"/>
        <w:jc w:val="center"/>
        <w:rPr>
          <w:rFonts w:hint="eastAsia" w:ascii="方正小标宋_GBK" w:hAnsi="黑体" w:eastAsia="方正小标宋_GBK" w:cs="Times New Roman"/>
          <w:color w:val="000000" w:themeColor="text1"/>
          <w:sz w:val="36"/>
          <w:szCs w:val="36"/>
          <w14:textFill>
            <w14:solidFill>
              <w14:schemeClr w14:val="tx1"/>
            </w14:solidFill>
          </w14:textFill>
        </w:rPr>
      </w:pPr>
      <w:r>
        <w:rPr>
          <w:rFonts w:hint="eastAsia" w:ascii="方正小标宋_GBK" w:hAnsi="黑体" w:eastAsia="方正小标宋_GBK" w:cs="Times New Roman"/>
          <w:color w:val="000000" w:themeColor="text1"/>
          <w:sz w:val="36"/>
          <w:szCs w:val="36"/>
          <w14:textFill>
            <w14:solidFill>
              <w14:schemeClr w14:val="tx1"/>
            </w14:solidFill>
          </w14:textFill>
        </w:rPr>
        <w:t>招标事项核准意见表</w:t>
      </w:r>
    </w:p>
    <w:p w14:paraId="4C0CAEEA">
      <w:pPr>
        <w:pStyle w:val="2"/>
      </w:pPr>
    </w:p>
    <w:p w14:paraId="1B1046BB">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项目名称：</w:t>
      </w:r>
      <w:r>
        <w:rPr>
          <w:rFonts w:hint="eastAsia" w:ascii="宋体" w:hAnsi="宋体" w:eastAsia="宋体" w:cs="Times New Roman"/>
          <w:b/>
          <w:bCs/>
          <w:color w:val="000000" w:themeColor="text1"/>
          <w:sz w:val="24"/>
          <w:lang w:val="en-US" w:eastAsia="zh-CN"/>
          <w14:textFill>
            <w14:solidFill>
              <w14:schemeClr w14:val="tx1"/>
            </w14:solidFill>
          </w14:textFill>
        </w:rPr>
        <w:t>220千伏平坡站增容改造工程</w:t>
      </w:r>
    </w:p>
    <w:tbl>
      <w:tblPr>
        <w:tblStyle w:val="14"/>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2948CC9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vAlign w:val="center"/>
          </w:tcPr>
          <w:p w14:paraId="4B441E8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名称</w:t>
            </w:r>
          </w:p>
        </w:tc>
        <w:tc>
          <w:tcPr>
            <w:tcW w:w="2001" w:type="dxa"/>
            <w:gridSpan w:val="2"/>
            <w:vAlign w:val="center"/>
          </w:tcPr>
          <w:p w14:paraId="72A806D3">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招标范围</w:t>
            </w:r>
          </w:p>
        </w:tc>
        <w:tc>
          <w:tcPr>
            <w:tcW w:w="1788" w:type="dxa"/>
            <w:gridSpan w:val="2"/>
            <w:vAlign w:val="center"/>
          </w:tcPr>
          <w:p w14:paraId="37F727A0">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招标组织形式</w:t>
            </w:r>
          </w:p>
        </w:tc>
        <w:tc>
          <w:tcPr>
            <w:tcW w:w="2181" w:type="dxa"/>
            <w:gridSpan w:val="2"/>
            <w:vAlign w:val="center"/>
          </w:tcPr>
          <w:p w14:paraId="7D0FED0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招标方式</w:t>
            </w:r>
          </w:p>
        </w:tc>
        <w:tc>
          <w:tcPr>
            <w:tcW w:w="1559" w:type="dxa"/>
            <w:vMerge w:val="restart"/>
            <w:vAlign w:val="center"/>
          </w:tcPr>
          <w:p w14:paraId="407C596D">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不采用招标方式</w:t>
            </w:r>
          </w:p>
        </w:tc>
      </w:tr>
      <w:tr w14:paraId="3F1AE6E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Pr>
          <w:p w14:paraId="1D8F9C0A">
            <w:pPr>
              <w:jc w:val="center"/>
              <w:rPr>
                <w:rFonts w:ascii="Times New Roman" w:hAnsi="Times New Roman" w:eastAsia="宋体" w:cs="Times New Roman"/>
                <w:b/>
                <w:color w:val="000000" w:themeColor="text1"/>
                <w:sz w:val="24"/>
                <w14:textFill>
                  <w14:solidFill>
                    <w14:schemeClr w14:val="tx1"/>
                  </w14:solidFill>
                </w14:textFill>
              </w:rPr>
            </w:pPr>
          </w:p>
        </w:tc>
        <w:tc>
          <w:tcPr>
            <w:tcW w:w="1008" w:type="dxa"/>
            <w:vAlign w:val="center"/>
          </w:tcPr>
          <w:p w14:paraId="6283299D">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全部</w:t>
            </w:r>
          </w:p>
          <w:p w14:paraId="68342F3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93" w:type="dxa"/>
            <w:vAlign w:val="center"/>
          </w:tcPr>
          <w:p w14:paraId="3EBEDD1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部分</w:t>
            </w:r>
          </w:p>
          <w:p w14:paraId="4D1D016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850" w:type="dxa"/>
            <w:vAlign w:val="center"/>
          </w:tcPr>
          <w:p w14:paraId="1BAE5046">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自行</w:t>
            </w:r>
          </w:p>
          <w:p w14:paraId="078AB5A7">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38" w:type="dxa"/>
            <w:vAlign w:val="center"/>
          </w:tcPr>
          <w:p w14:paraId="6BCDFACE">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委托</w:t>
            </w:r>
          </w:p>
          <w:p w14:paraId="6EAFC58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047" w:type="dxa"/>
            <w:vAlign w:val="center"/>
          </w:tcPr>
          <w:p w14:paraId="28162CDA">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公开</w:t>
            </w:r>
          </w:p>
          <w:p w14:paraId="39C8CE82">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134" w:type="dxa"/>
            <w:vAlign w:val="center"/>
          </w:tcPr>
          <w:p w14:paraId="28296663">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邀请</w:t>
            </w:r>
          </w:p>
          <w:p w14:paraId="17A9FF77">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559" w:type="dxa"/>
            <w:vMerge w:val="continue"/>
            <w:vAlign w:val="center"/>
          </w:tcPr>
          <w:p w14:paraId="2D199252">
            <w:pPr>
              <w:jc w:val="center"/>
              <w:rPr>
                <w:rFonts w:ascii="Times New Roman" w:hAnsi="Times New Roman" w:eastAsia="宋体" w:cs="Times New Roman"/>
                <w:b/>
                <w:color w:val="000000" w:themeColor="text1"/>
                <w:sz w:val="24"/>
                <w14:textFill>
                  <w14:solidFill>
                    <w14:schemeClr w14:val="tx1"/>
                  </w14:solidFill>
                </w14:textFill>
              </w:rPr>
            </w:pPr>
          </w:p>
        </w:tc>
      </w:tr>
      <w:tr w14:paraId="2D1A035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vAlign w:val="center"/>
          </w:tcPr>
          <w:p w14:paraId="551C9D3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勘察</w:t>
            </w:r>
          </w:p>
        </w:tc>
        <w:tc>
          <w:tcPr>
            <w:tcW w:w="1008" w:type="dxa"/>
            <w:vAlign w:val="center"/>
          </w:tcPr>
          <w:p w14:paraId="62EC955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743A6445">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71A22D1">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7FE2023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73BE4463">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1B1C58E2">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4FFBE82B">
            <w:pPr>
              <w:jc w:val="center"/>
              <w:rPr>
                <w:rFonts w:ascii="Times New Roman" w:hAnsi="Times New Roman" w:eastAsia="宋体" w:cs="Times New Roman"/>
                <w:color w:val="000000" w:themeColor="text1"/>
                <w:sz w:val="24"/>
                <w14:textFill>
                  <w14:solidFill>
                    <w14:schemeClr w14:val="tx1"/>
                  </w14:solidFill>
                </w14:textFill>
              </w:rPr>
            </w:pPr>
          </w:p>
        </w:tc>
      </w:tr>
      <w:tr w14:paraId="46AC6B3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5ADA56C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设计</w:t>
            </w:r>
          </w:p>
        </w:tc>
        <w:tc>
          <w:tcPr>
            <w:tcW w:w="1008" w:type="dxa"/>
            <w:vAlign w:val="center"/>
          </w:tcPr>
          <w:p w14:paraId="1087128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41C6C2EB">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1AAA64E3">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6B2FE8D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54266D7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505731EA">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42ADDA17">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02E67BA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67738757">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建筑</w:t>
            </w:r>
          </w:p>
          <w:p w14:paraId="1E291DB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7BACC2A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540D2C3E">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CDFBF33">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30F6909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28B98CD1">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7C3E6622">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1BF940B5">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7059DCAF">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2F0F37D">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安装</w:t>
            </w:r>
          </w:p>
          <w:p w14:paraId="5B06B4D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1B9B731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178570B9">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E4AAF0C">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3F022D9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1181788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5AC886BA">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1924B6D7">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0916400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15E0F1B">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监理</w:t>
            </w:r>
          </w:p>
        </w:tc>
        <w:tc>
          <w:tcPr>
            <w:tcW w:w="1008" w:type="dxa"/>
            <w:vAlign w:val="center"/>
          </w:tcPr>
          <w:p w14:paraId="6F77F257">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6574F7B1">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49FF449A">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5934070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68AAA1D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7CAD34C">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F9FAEF7">
            <w:pPr>
              <w:jc w:val="center"/>
              <w:rPr>
                <w:rFonts w:ascii="Times New Roman" w:hAnsi="Times New Roman" w:eastAsia="宋体" w:cs="Times New Roman"/>
                <w:color w:val="000000" w:themeColor="text1"/>
                <w:sz w:val="24"/>
                <w14:textFill>
                  <w14:solidFill>
                    <w14:schemeClr w14:val="tx1"/>
                  </w14:solidFill>
                </w14:textFill>
              </w:rPr>
            </w:pPr>
          </w:p>
        </w:tc>
      </w:tr>
      <w:tr w14:paraId="3289B7DC">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22637D9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设备</w:t>
            </w:r>
          </w:p>
        </w:tc>
        <w:tc>
          <w:tcPr>
            <w:tcW w:w="1008" w:type="dxa"/>
            <w:vAlign w:val="center"/>
          </w:tcPr>
          <w:p w14:paraId="69E71733">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6440DC0F">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39871FDB">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5746AD1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385FE9D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A05F483">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0879AB3E">
            <w:pPr>
              <w:jc w:val="center"/>
              <w:rPr>
                <w:rFonts w:ascii="Times New Roman" w:hAnsi="Times New Roman" w:eastAsia="宋体" w:cs="Times New Roman"/>
                <w:color w:val="000000" w:themeColor="text1"/>
                <w:sz w:val="24"/>
                <w14:textFill>
                  <w14:solidFill>
                    <w14:schemeClr w14:val="tx1"/>
                  </w14:solidFill>
                </w14:textFill>
              </w:rPr>
            </w:pPr>
          </w:p>
        </w:tc>
      </w:tr>
      <w:tr w14:paraId="7246AE8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1C929B2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重要</w:t>
            </w:r>
          </w:p>
          <w:p w14:paraId="4BF85DB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材料</w:t>
            </w:r>
          </w:p>
        </w:tc>
        <w:tc>
          <w:tcPr>
            <w:tcW w:w="1008" w:type="dxa"/>
            <w:vAlign w:val="center"/>
          </w:tcPr>
          <w:p w14:paraId="68C8A5E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7393C72F">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2685D607">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692BAF5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1813A5E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21D42C8">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20519E0">
            <w:pPr>
              <w:jc w:val="center"/>
              <w:rPr>
                <w:rFonts w:ascii="Times New Roman" w:hAnsi="Times New Roman" w:eastAsia="宋体" w:cs="Times New Roman"/>
                <w:color w:val="000000" w:themeColor="text1"/>
                <w:sz w:val="24"/>
                <w14:textFill>
                  <w14:solidFill>
                    <w14:schemeClr w14:val="tx1"/>
                  </w14:solidFill>
                </w14:textFill>
              </w:rPr>
            </w:pPr>
          </w:p>
        </w:tc>
      </w:tr>
      <w:tr w14:paraId="274CC4C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68" w:type="dxa"/>
            <w:vAlign w:val="center"/>
          </w:tcPr>
          <w:p w14:paraId="4845E954">
            <w:pPr>
              <w:jc w:val="center"/>
              <w:rPr>
                <w:rFonts w:ascii="Times New Roman" w:hAnsi="Times New Roman" w:eastAsia="宋体" w:cs="Times New Roman"/>
                <w:color w:val="000000" w:themeColor="text1"/>
                <w:sz w:val="24"/>
                <w14:textFill>
                  <w14:solidFill>
                    <w14:schemeClr w14:val="tx1"/>
                  </w14:solidFill>
                </w14:textFill>
              </w:rPr>
            </w:pPr>
          </w:p>
        </w:tc>
        <w:tc>
          <w:tcPr>
            <w:tcW w:w="1008" w:type="dxa"/>
            <w:vAlign w:val="center"/>
          </w:tcPr>
          <w:p w14:paraId="1F9F76D7">
            <w:pPr>
              <w:jc w:val="center"/>
              <w:rPr>
                <w:rFonts w:ascii="Times New Roman" w:hAnsi="Times New Roman" w:eastAsia="宋体" w:cs="Times New Roman"/>
                <w:color w:val="000000" w:themeColor="text1"/>
                <w:sz w:val="24"/>
                <w14:textFill>
                  <w14:solidFill>
                    <w14:schemeClr w14:val="tx1"/>
                  </w14:solidFill>
                </w14:textFill>
              </w:rPr>
            </w:pPr>
          </w:p>
        </w:tc>
        <w:tc>
          <w:tcPr>
            <w:tcW w:w="993" w:type="dxa"/>
            <w:vAlign w:val="center"/>
          </w:tcPr>
          <w:p w14:paraId="35E50070">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4FD31E4A">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0815A4CD">
            <w:pPr>
              <w:jc w:val="center"/>
              <w:rPr>
                <w:rFonts w:ascii="Times New Roman" w:hAnsi="Times New Roman" w:eastAsia="宋体" w:cs="Times New Roman"/>
                <w:color w:val="000000" w:themeColor="text1"/>
                <w:sz w:val="24"/>
                <w14:textFill>
                  <w14:solidFill>
                    <w14:schemeClr w14:val="tx1"/>
                  </w14:solidFill>
                </w14:textFill>
              </w:rPr>
            </w:pPr>
          </w:p>
        </w:tc>
        <w:tc>
          <w:tcPr>
            <w:tcW w:w="1047" w:type="dxa"/>
            <w:vAlign w:val="center"/>
          </w:tcPr>
          <w:p w14:paraId="1949473A">
            <w:pPr>
              <w:jc w:val="center"/>
              <w:rPr>
                <w:rFonts w:ascii="Times New Roman" w:hAnsi="Times New Roman" w:eastAsia="宋体" w:cs="Times New Roman"/>
                <w:color w:val="000000" w:themeColor="text1"/>
                <w:sz w:val="24"/>
                <w14:textFill>
                  <w14:solidFill>
                    <w14:schemeClr w14:val="tx1"/>
                  </w14:solidFill>
                </w14:textFill>
              </w:rPr>
            </w:pPr>
          </w:p>
        </w:tc>
        <w:tc>
          <w:tcPr>
            <w:tcW w:w="1134" w:type="dxa"/>
            <w:vAlign w:val="center"/>
          </w:tcPr>
          <w:p w14:paraId="2A22F34B">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D147D81">
            <w:pPr>
              <w:jc w:val="center"/>
              <w:rPr>
                <w:rFonts w:ascii="Times New Roman" w:hAnsi="Times New Roman" w:eastAsia="宋体" w:cs="Times New Roman"/>
                <w:color w:val="000000" w:themeColor="text1"/>
                <w:sz w:val="24"/>
                <w14:textFill>
                  <w14:solidFill>
                    <w14:schemeClr w14:val="tx1"/>
                  </w14:solidFill>
                </w14:textFill>
              </w:rPr>
            </w:pPr>
          </w:p>
        </w:tc>
      </w:tr>
      <w:tr w14:paraId="55BCB53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8897" w:type="dxa"/>
            <w:gridSpan w:val="8"/>
          </w:tcPr>
          <w:p w14:paraId="2A865C93">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审批部门核准意见说明：</w:t>
            </w:r>
          </w:p>
          <w:p w14:paraId="5B0A4F0D">
            <w:pPr>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根据请严格执行《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ascii="Times New Roman" w:hAnsi="Times New Roman" w:eastAsia="宋体" w:cs="Times New Roman"/>
                <w:color w:val="000000" w:themeColor="text1"/>
                <w14:textFill>
                  <w14:solidFill>
                    <w14:schemeClr w14:val="tx1"/>
                  </w14:solidFill>
                </w14:textFill>
              </w:rPr>
              <w:t>。</w:t>
            </w:r>
          </w:p>
          <w:p w14:paraId="0116803D">
            <w:pPr>
              <w:rPr>
                <w:rFonts w:ascii="Times New Roman" w:hAnsi="Times New Roman" w:eastAsia="宋体" w:cs="Times New Roman"/>
                <w:color w:val="000000" w:themeColor="text1"/>
                <w:sz w:val="24"/>
                <w14:textFill>
                  <w14:solidFill>
                    <w14:schemeClr w14:val="tx1"/>
                  </w14:solidFill>
                </w14:textFill>
              </w:rPr>
            </w:pPr>
          </w:p>
          <w:p w14:paraId="24B196D2">
            <w:pPr>
              <w:ind w:left="5880" w:leftChars="2800"/>
              <w:rPr>
                <w:rFonts w:ascii="Times New Roman" w:hAnsi="Times New Roman" w:eastAsia="宋体" w:cs="Times New Roman"/>
                <w:color w:val="000000" w:themeColor="text1"/>
                <w:sz w:val="24"/>
                <w14:textFill>
                  <w14:solidFill>
                    <w14:schemeClr w14:val="tx1"/>
                  </w14:solidFill>
                </w14:textFill>
              </w:rPr>
            </w:pPr>
          </w:p>
          <w:p w14:paraId="08A8FFB6">
            <w:pPr>
              <w:jc w:val="center"/>
              <w:rPr>
                <w:rFonts w:ascii="Times New Roman" w:hAnsi="Times New Roman" w:eastAsia="宋体" w:cs="Times New Roman"/>
                <w:color w:val="000000" w:themeColor="text1"/>
                <w:sz w:val="24"/>
                <w14:textFill>
                  <w14:solidFill>
                    <w14:schemeClr w14:val="tx1"/>
                  </w14:solidFill>
                </w14:textFill>
              </w:rPr>
            </w:pPr>
          </w:p>
          <w:p w14:paraId="6938EDBD">
            <w:pPr>
              <w:widowControl w:val="0"/>
              <w:autoSpaceDE w:val="0"/>
              <w:autoSpaceDN w:val="0"/>
              <w:adjustRightInd w:val="0"/>
              <w:spacing w:line="580" w:lineRule="exact"/>
              <w:ind w:firstLine="6000" w:firstLineChars="2500"/>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2025年</w:t>
            </w:r>
            <w:r>
              <w:rPr>
                <w:rFonts w:hint="eastAsia" w:ascii="宋体" w:hAnsi="宋体" w:cs="Times New Roman"/>
                <w:color w:val="000000" w:themeColor="text1"/>
                <w:kern w:val="2"/>
                <w:sz w:val="24"/>
                <w:szCs w:val="24"/>
                <w:lang w:val="en-US" w:eastAsia="zh-CN" w:bidi="ar-SA"/>
                <w14:textFill>
                  <w14:solidFill>
                    <w14:schemeClr w14:val="tx1"/>
                  </w14:solidFill>
                </w14:textFill>
              </w:rPr>
              <w:t>12</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月</w:t>
            </w:r>
            <w:r>
              <w:rPr>
                <w:rFonts w:hint="eastAsia" w:ascii="宋体" w:hAnsi="宋体" w:cs="Times New Roman"/>
                <w:color w:val="000000" w:themeColor="text1"/>
                <w:kern w:val="2"/>
                <w:sz w:val="24"/>
                <w:szCs w:val="24"/>
                <w:lang w:val="en-US" w:eastAsia="zh-CN" w:bidi="ar-SA"/>
                <w14:textFill>
                  <w14:solidFill>
                    <w14:schemeClr w14:val="tx1"/>
                  </w14:solidFill>
                </w14:textFill>
              </w:rPr>
              <w:t>31</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日</w:t>
            </w:r>
          </w:p>
          <w:p w14:paraId="46D05149">
            <w:pPr>
              <w:jc w:val="center"/>
              <w:rPr>
                <w:rFonts w:ascii="Times New Roman" w:hAnsi="Times New Roman" w:eastAsia="宋体" w:cs="Times New Roman"/>
                <w:color w:val="000000" w:themeColor="text1"/>
                <w:sz w:val="24"/>
                <w14:textFill>
                  <w14:solidFill>
                    <w14:schemeClr w14:val="tx1"/>
                  </w14:solidFill>
                </w14:textFill>
              </w:rPr>
            </w:pPr>
          </w:p>
          <w:p w14:paraId="04F4C021">
            <w:pPr>
              <w:jc w:val="center"/>
              <w:rPr>
                <w:rFonts w:ascii="Times New Roman" w:hAnsi="Times New Roman" w:eastAsia="宋体" w:cs="Times New Roman"/>
                <w:color w:val="000000" w:themeColor="text1"/>
                <w:sz w:val="24"/>
                <w14:textFill>
                  <w14:solidFill>
                    <w14:schemeClr w14:val="tx1"/>
                  </w14:solidFill>
                </w14:textFill>
              </w:rPr>
            </w:pPr>
          </w:p>
          <w:p w14:paraId="41D9EF34">
            <w:pPr>
              <w:jc w:val="center"/>
              <w:rPr>
                <w:rFonts w:ascii="Times New Roman" w:hAnsi="Times New Roman" w:eastAsia="宋体" w:cs="Times New Roman"/>
                <w:color w:val="000000" w:themeColor="text1"/>
                <w:sz w:val="24"/>
                <w14:textFill>
                  <w14:solidFill>
                    <w14:schemeClr w14:val="tx1"/>
                  </w14:solidFill>
                </w14:textFill>
              </w:rPr>
            </w:pPr>
          </w:p>
          <w:p w14:paraId="23459316">
            <w:pPr>
              <w:rPr>
                <w:rFonts w:ascii="Times New Roman" w:hAnsi="Times New Roman" w:eastAsia="宋体" w:cs="Times New Roman"/>
                <w:color w:val="000000" w:themeColor="text1"/>
                <w:sz w:val="24"/>
                <w14:textFill>
                  <w14:solidFill>
                    <w14:schemeClr w14:val="tx1"/>
                  </w14:solidFill>
                </w14:textFill>
              </w:rPr>
            </w:pPr>
          </w:p>
          <w:p w14:paraId="5BE2AAFB">
            <w:pPr>
              <w:rPr>
                <w:rFonts w:ascii="Times New Roman" w:hAnsi="Times New Roman" w:eastAsia="宋体" w:cs="Times New Roman"/>
                <w:color w:val="000000" w:themeColor="text1"/>
                <w:sz w:val="24"/>
                <w14:textFill>
                  <w14:solidFill>
                    <w14:schemeClr w14:val="tx1"/>
                  </w14:solidFill>
                </w14:textFill>
              </w:rPr>
            </w:pPr>
          </w:p>
        </w:tc>
      </w:tr>
    </w:tbl>
    <w:p w14:paraId="6CA1F4D8">
      <w:pPr>
        <w:rPr>
          <w:rFonts w:ascii="宋体" w:hAnsi="宋体"/>
          <w:sz w:val="24"/>
        </w:rPr>
        <w:sectPr>
          <w:headerReference r:id="rId3" w:type="default"/>
          <w:footerReference r:id="rId4"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53840DD5">
      <w:pPr>
        <w:spacing w:line="600" w:lineRule="exact"/>
        <w:rPr>
          <w:rFonts w:ascii="宋体" w:hAnsi="宋体" w:eastAsia="宋体" w:cs="仿宋_GB2312"/>
          <w:color w:val="000000" w:themeColor="text1"/>
          <w:sz w:val="28"/>
          <w:szCs w:val="28"/>
          <w14:textFill>
            <w14:solidFill>
              <w14:schemeClr w14:val="tx1"/>
            </w14:solidFill>
          </w14:textFill>
        </w:rPr>
      </w:pPr>
      <w:r>
        <w:rPr>
          <w:rFonts w:hint="eastAsia" w:ascii="宋体" w:hAnsi="宋体" w:eastAsia="宋体" w:cs="仿宋_GB2312"/>
          <w:color w:val="000000" w:themeColor="text1"/>
          <w:sz w:val="28"/>
          <w:szCs w:val="28"/>
          <w14:textFill>
            <w14:solidFill>
              <w14:schemeClr w14:val="tx1"/>
            </w14:solidFill>
          </w14:textFill>
        </w:rPr>
        <w:t>附件2</w:t>
      </w:r>
    </w:p>
    <w:p w14:paraId="0B422C69">
      <w:pPr>
        <w:spacing w:line="600" w:lineRule="exact"/>
        <w:rPr>
          <w:rFonts w:ascii="黑体" w:hAnsi="黑体" w:eastAsia="黑体" w:cs="仿宋_GB2312"/>
          <w:color w:val="000000" w:themeColor="text1"/>
          <w14:textFill>
            <w14:solidFill>
              <w14:schemeClr w14:val="tx1"/>
            </w14:solidFill>
          </w14:textFill>
        </w:rPr>
      </w:pPr>
    </w:p>
    <w:p w14:paraId="3464828D">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电力项目安全管理和质量管控事项告知书</w:t>
      </w:r>
    </w:p>
    <w:p w14:paraId="7A98C91C">
      <w:pPr>
        <w:spacing w:line="600" w:lineRule="exact"/>
        <w:rPr>
          <w:rFonts w:ascii="仿宋_GB2312" w:hAnsi="仿宋_GB2312" w:eastAsia="仿宋_GB2312" w:cs="仿宋_GB2312"/>
          <w:snapToGrid w:val="0"/>
          <w:color w:val="000000" w:themeColor="text1"/>
          <w:kern w:val="0"/>
          <w:sz w:val="32"/>
          <w:szCs w:val="32"/>
          <w14:textFill>
            <w14:solidFill>
              <w14:schemeClr w14:val="tx1"/>
            </w14:solidFill>
          </w14:textFill>
        </w:rPr>
      </w:pPr>
    </w:p>
    <w:p w14:paraId="47623CD2">
      <w:pPr>
        <w:ind w:firstLine="480" w:firstLineChars="1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为了进一步加强电力项目的安全管理,有效防范安全生产和质量事故,现就</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工程</w:t>
      </w:r>
      <w:r>
        <w:rPr>
          <w:rFonts w:hint="eastAsia" w:ascii="仿宋_GB2312" w:hAnsi="仿宋_GB2312" w:eastAsia="仿宋_GB2312" w:cs="仿宋_GB2312"/>
          <w:color w:val="000000" w:themeColor="text1"/>
          <w:sz w:val="32"/>
          <w:szCs w:val="32"/>
          <w14:textFill>
            <w14:solidFill>
              <w14:schemeClr w14:val="tx1"/>
            </w14:solidFill>
          </w14:textFill>
        </w:rPr>
        <w:t>施工安全和质量管控应重点注意的事项告知如下。</w:t>
      </w:r>
    </w:p>
    <w:p w14:paraId="41AE8A7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切实落实企业安全生产主体责任。</w:t>
      </w:r>
    </w:p>
    <w:p w14:paraId="3687609F">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二、应当按要求设置项目安全生产管理机构,配备安全生产管理人员。</w:t>
      </w:r>
    </w:p>
    <w:p w14:paraId="6A834716">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三、应当开展安全生产教育培训。</w:t>
      </w:r>
    </w:p>
    <w:p w14:paraId="17B4C04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四、应当严格落实安全生产投入。</w:t>
      </w:r>
    </w:p>
    <w:p w14:paraId="548A859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五、应当按要求建立工程分包管控制度和措施,禁止施工单位转包或违法分包工程。</w:t>
      </w:r>
    </w:p>
    <w:p w14:paraId="502AE4F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六、应当组织开展安全风险管控和隐患排查治理工作。</w:t>
      </w:r>
    </w:p>
    <w:p w14:paraId="44264CF5">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sectPr>
          <w:footerReference r:id="rId5"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七、应当严格落实应急管理及事故处置措施,及时如实报告</w:t>
      </w:r>
    </w:p>
    <w:p w14:paraId="2886062F">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12F210B1">
      <w:pPr>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生产安全事故。</w:t>
      </w:r>
    </w:p>
    <w:p w14:paraId="3465D535">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八、严格按照《建设工程质量管理条例》（国务院令第279号）和《国家能源局关于进一步明确电力建设工程质量监督机构业务工作的通知》(国能函安全</w:t>
      </w:r>
      <w:r>
        <w:rPr>
          <w:rFonts w:hint="eastAsia" w:ascii="仿宋_GB2312" w:hAnsi="仿宋_GB2312" w:eastAsia="仿宋_GB2312" w:cs="仿宋_GB2312"/>
          <w:color w:val="000000" w:themeColor="text1"/>
          <w:kern w:val="0"/>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39号)等有关文件的规定和要求,开工前必须办理工程质量监督注册手续,并做好工程质量管控各项工作。</w:t>
      </w:r>
    </w:p>
    <w:p w14:paraId="2216B07B">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若发生违反上述事项的行为,有关部门将依照相关法律、法规和政策规定进行处罚,并将处罚信息纳入被处罚单位的信用记录。</w:t>
      </w:r>
    </w:p>
    <w:p w14:paraId="60EE9472">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681DAE4F">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0D4D38FF">
      <w:pPr>
        <w:rPr>
          <w:rFonts w:ascii="仿宋_GB2312" w:hAnsi="Times New Roman" w:eastAsia="仿宋_GB2312" w:cs="Times New Roman"/>
          <w:color w:val="000000" w:themeColor="text1"/>
          <w:sz w:val="32"/>
          <w:szCs w:val="32"/>
          <w14:textFill>
            <w14:solidFill>
              <w14:schemeClr w14:val="tx1"/>
            </w14:solidFill>
          </w14:textFill>
        </w:rPr>
      </w:pPr>
    </w:p>
    <w:p w14:paraId="6A7E3851">
      <w:pPr>
        <w:spacing w:line="600" w:lineRule="exact"/>
        <w:ind w:firstLine="3200" w:firstLineChars="10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告知人:玉林市发展和改革委员会</w:t>
      </w:r>
    </w:p>
    <w:p w14:paraId="3A562EE1">
      <w:pPr>
        <w:spacing w:line="600" w:lineRule="exact"/>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被告知单位:</w:t>
      </w:r>
      <w:r>
        <w:rPr>
          <w:rFonts w:hint="eastAsia" w:ascii="仿宋_GB2312" w:hAnsi="仿宋_GB2312" w:eastAsia="仿宋_GB2312" w:cs="仿宋_GB2312"/>
          <w:b w:val="0"/>
          <w:bCs w:val="0"/>
          <w:sz w:val="32"/>
          <w:szCs w:val="32"/>
          <w:lang w:val="en-US" w:eastAsia="zh-CN"/>
        </w:rPr>
        <w:t>广西新电力投资集团有限责任公司</w:t>
      </w:r>
    </w:p>
    <w:p w14:paraId="2C090D77">
      <w:pPr>
        <w:spacing w:line="600" w:lineRule="exact"/>
        <w:ind w:firstLine="4899" w:firstLineChars="1531"/>
        <w:rPr>
          <w:rFonts w:ascii="宋体" w:hAnsi="宋体" w:eastAsia="宋体" w:cs="Times New Roman"/>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w:t>
      </w:r>
      <w:bookmarkStart w:id="7" w:name="_GoBack"/>
      <w:bookmarkEnd w:id="7"/>
      <w:r>
        <w:rPr>
          <w:rFonts w:hint="eastAsia" w:ascii="仿宋_GB2312" w:hAnsi="仿宋_GB2312" w:eastAsia="仿宋_GB2312" w:cs="仿宋_GB2312"/>
          <w:color w:val="000000" w:themeColor="text1"/>
          <w:sz w:val="32"/>
          <w:szCs w:val="32"/>
          <w14:textFill>
            <w14:solidFill>
              <w14:schemeClr w14:val="tx1"/>
            </w14:solidFill>
          </w14:textFill>
        </w:rPr>
        <w:t>日</w:t>
      </w:r>
    </w:p>
    <w:p w14:paraId="7D50F750">
      <w:pPr>
        <w:rPr>
          <w:rFonts w:ascii="宋体" w:hAnsi="宋体"/>
          <w:sz w:val="24"/>
        </w:rPr>
      </w:pPr>
    </w:p>
    <w:sectPr>
      <w:footerReference r:id="rId6"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6524">
    <w:pPr>
      <w:pStyle w:val="9"/>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403E1">
                          <w:pPr>
                            <w:pStyle w:val="9"/>
                            <w:rPr>
                              <w:rStyle w:val="17"/>
                              <w:sz w:val="32"/>
                              <w:szCs w:val="32"/>
                            </w:rPr>
                          </w:pPr>
                          <w:r>
                            <w:rPr>
                              <w:rStyle w:val="17"/>
                              <w:sz w:val="32"/>
                              <w:szCs w:val="32"/>
                            </w:rPr>
                            <w:fldChar w:fldCharType="begin"/>
                          </w:r>
                          <w:r>
                            <w:rPr>
                              <w:rStyle w:val="17"/>
                              <w:sz w:val="32"/>
                              <w:szCs w:val="32"/>
                            </w:rPr>
                            <w:instrText xml:space="preserve">PAGE  </w:instrText>
                          </w:r>
                          <w:r>
                            <w:rPr>
                              <w:rStyle w:val="17"/>
                              <w:sz w:val="32"/>
                              <w:szCs w:val="32"/>
                            </w:rPr>
                            <w:fldChar w:fldCharType="separate"/>
                          </w:r>
                          <w:r>
                            <w:rPr>
                              <w:rStyle w:val="17"/>
                              <w:sz w:val="32"/>
                              <w:szCs w:val="32"/>
                            </w:rPr>
                            <w:t>- 9 -</w:t>
                          </w:r>
                          <w:r>
                            <w:rPr>
                              <w:rStyle w:val="17"/>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E403E1">
                    <w:pPr>
                      <w:pStyle w:val="9"/>
                      <w:rPr>
                        <w:rStyle w:val="17"/>
                        <w:sz w:val="32"/>
                        <w:szCs w:val="32"/>
                      </w:rPr>
                    </w:pPr>
                    <w:r>
                      <w:rPr>
                        <w:rStyle w:val="17"/>
                        <w:sz w:val="32"/>
                        <w:szCs w:val="32"/>
                      </w:rPr>
                      <w:fldChar w:fldCharType="begin"/>
                    </w:r>
                    <w:r>
                      <w:rPr>
                        <w:rStyle w:val="17"/>
                        <w:sz w:val="32"/>
                        <w:szCs w:val="32"/>
                      </w:rPr>
                      <w:instrText xml:space="preserve">PAGE  </w:instrText>
                    </w:r>
                    <w:r>
                      <w:rPr>
                        <w:rStyle w:val="17"/>
                        <w:sz w:val="32"/>
                        <w:szCs w:val="32"/>
                      </w:rPr>
                      <w:fldChar w:fldCharType="separate"/>
                    </w:r>
                    <w:r>
                      <w:rPr>
                        <w:rStyle w:val="17"/>
                        <w:sz w:val="32"/>
                        <w:szCs w:val="32"/>
                      </w:rPr>
                      <w:t>- 9 -</w:t>
                    </w:r>
                    <w:r>
                      <w:rPr>
                        <w:rStyle w:val="17"/>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3FF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9D2C6">
                          <w:pPr>
                            <w:pStyle w:val="9"/>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9</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79D2C6">
                    <w:pPr>
                      <w:pStyle w:val="9"/>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9</w:t>
                    </w:r>
                    <w:r>
                      <w:rPr>
                        <w:sz w:val="32"/>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8C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823FF">
                          <w:pPr>
                            <w:pStyle w:val="9"/>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9823FF">
                    <w:pPr>
                      <w:pStyle w:val="9"/>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0"/>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FB041A"/>
    <w:rsid w:val="020016E9"/>
    <w:rsid w:val="020A2568"/>
    <w:rsid w:val="03E46820"/>
    <w:rsid w:val="05D2339D"/>
    <w:rsid w:val="06FD4180"/>
    <w:rsid w:val="073C31C4"/>
    <w:rsid w:val="08000695"/>
    <w:rsid w:val="086A653F"/>
    <w:rsid w:val="09575B61"/>
    <w:rsid w:val="096E718E"/>
    <w:rsid w:val="0A2C5A28"/>
    <w:rsid w:val="0AC0648A"/>
    <w:rsid w:val="0AF81AF7"/>
    <w:rsid w:val="0ECB015C"/>
    <w:rsid w:val="0FB33A04"/>
    <w:rsid w:val="0FC83354"/>
    <w:rsid w:val="10266135"/>
    <w:rsid w:val="127001C5"/>
    <w:rsid w:val="12F928B1"/>
    <w:rsid w:val="13094DDF"/>
    <w:rsid w:val="1319085D"/>
    <w:rsid w:val="14A405FA"/>
    <w:rsid w:val="14FB46BE"/>
    <w:rsid w:val="15BF56EC"/>
    <w:rsid w:val="15E433A4"/>
    <w:rsid w:val="16CB00C0"/>
    <w:rsid w:val="173827BF"/>
    <w:rsid w:val="1B544B28"/>
    <w:rsid w:val="1BA95D0D"/>
    <w:rsid w:val="1EAE09F3"/>
    <w:rsid w:val="1F182311"/>
    <w:rsid w:val="1F4C5B16"/>
    <w:rsid w:val="1F734328"/>
    <w:rsid w:val="2217065D"/>
    <w:rsid w:val="222648EA"/>
    <w:rsid w:val="22813D29"/>
    <w:rsid w:val="2389558B"/>
    <w:rsid w:val="23CF4924"/>
    <w:rsid w:val="240B230C"/>
    <w:rsid w:val="2548374E"/>
    <w:rsid w:val="26393298"/>
    <w:rsid w:val="2680013C"/>
    <w:rsid w:val="27F72428"/>
    <w:rsid w:val="297D349C"/>
    <w:rsid w:val="29BB2216"/>
    <w:rsid w:val="2D102879"/>
    <w:rsid w:val="2E8224E6"/>
    <w:rsid w:val="31BE21B5"/>
    <w:rsid w:val="31CC64FB"/>
    <w:rsid w:val="326E42CA"/>
    <w:rsid w:val="33226E62"/>
    <w:rsid w:val="33FC05F9"/>
    <w:rsid w:val="35C91817"/>
    <w:rsid w:val="36266C69"/>
    <w:rsid w:val="383A69FC"/>
    <w:rsid w:val="38410E10"/>
    <w:rsid w:val="391A2715"/>
    <w:rsid w:val="3A06303A"/>
    <w:rsid w:val="3AF77A81"/>
    <w:rsid w:val="3B023801"/>
    <w:rsid w:val="40A14E3D"/>
    <w:rsid w:val="41923405"/>
    <w:rsid w:val="42F75C15"/>
    <w:rsid w:val="433C5D1E"/>
    <w:rsid w:val="44AC1FC9"/>
    <w:rsid w:val="46D42031"/>
    <w:rsid w:val="472E3BD0"/>
    <w:rsid w:val="478C7337"/>
    <w:rsid w:val="495711BC"/>
    <w:rsid w:val="4C126797"/>
    <w:rsid w:val="4C5E1854"/>
    <w:rsid w:val="4D3B0DF4"/>
    <w:rsid w:val="4DA16EA9"/>
    <w:rsid w:val="50F25C6E"/>
    <w:rsid w:val="53F405BE"/>
    <w:rsid w:val="548E5CAE"/>
    <w:rsid w:val="549534E0"/>
    <w:rsid w:val="55A60148"/>
    <w:rsid w:val="5664316A"/>
    <w:rsid w:val="583A23D4"/>
    <w:rsid w:val="58FE1654"/>
    <w:rsid w:val="596B480F"/>
    <w:rsid w:val="59CA3EB2"/>
    <w:rsid w:val="5C021A80"/>
    <w:rsid w:val="5F36423A"/>
    <w:rsid w:val="60D00657"/>
    <w:rsid w:val="639D7CBB"/>
    <w:rsid w:val="66154481"/>
    <w:rsid w:val="6639016F"/>
    <w:rsid w:val="665A1AAA"/>
    <w:rsid w:val="684C450D"/>
    <w:rsid w:val="69197DE4"/>
    <w:rsid w:val="6B9D470F"/>
    <w:rsid w:val="6F2075E2"/>
    <w:rsid w:val="701D1D1F"/>
    <w:rsid w:val="70C1323B"/>
    <w:rsid w:val="71C60738"/>
    <w:rsid w:val="729B5D0E"/>
    <w:rsid w:val="73AE2A7E"/>
    <w:rsid w:val="741639DC"/>
    <w:rsid w:val="745B5755"/>
    <w:rsid w:val="75BF1D13"/>
    <w:rsid w:val="763E0E8A"/>
    <w:rsid w:val="76636B42"/>
    <w:rsid w:val="769B0AEB"/>
    <w:rsid w:val="77AF74EA"/>
    <w:rsid w:val="78AB7B6D"/>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
    <w:qFormat/>
    <w:uiPriority w:val="0"/>
    <w:pPr>
      <w:spacing w:after="120"/>
    </w:pPr>
  </w:style>
  <w:style w:type="paragraph" w:styleId="3">
    <w:name w:val="Title"/>
    <w:basedOn w:val="1"/>
    <w:next w:val="1"/>
    <w:link w:val="23"/>
    <w:qFormat/>
    <w:uiPriority w:val="0"/>
    <w:pPr>
      <w:widowControl/>
      <w:spacing w:before="0" w:after="0" w:line="640" w:lineRule="exact"/>
      <w:jc w:val="center"/>
    </w:pPr>
    <w:rPr>
      <w:rFonts w:eastAsia="方正小标宋_GBK"/>
      <w:sz w:val="36"/>
      <w:szCs w:val="32"/>
    </w:rPr>
  </w:style>
  <w:style w:type="paragraph" w:styleId="5">
    <w:name w:val="Salutation"/>
    <w:basedOn w:val="1"/>
    <w:next w:val="1"/>
    <w:qFormat/>
    <w:uiPriority w:val="0"/>
  </w:style>
  <w:style w:type="paragraph" w:styleId="6">
    <w:name w:val="Body Text Indent"/>
    <w:basedOn w:val="1"/>
    <w:link w:val="20"/>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Date"/>
    <w:basedOn w:val="1"/>
    <w:next w:val="1"/>
    <w:link w:val="21"/>
    <w:qFormat/>
    <w:uiPriority w:val="0"/>
    <w:pPr>
      <w:ind w:left="100" w:leftChars="2500"/>
    </w:p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tabs>
        <w:tab w:val="right" w:leader="dot" w:pos="8400"/>
      </w:tabs>
      <w:spacing w:line="480" w:lineRule="exact"/>
      <w:ind w:left="42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2"/>
    <w:qFormat/>
    <w:uiPriority w:val="0"/>
    <w:pPr>
      <w:widowControl/>
      <w:overflowPunct w:val="0"/>
      <w:autoSpaceDE w:val="0"/>
      <w:autoSpaceDN w:val="0"/>
      <w:adjustRightInd w:val="0"/>
      <w:spacing w:afterLines="0" w:afterAutospacing="0"/>
      <w:ind w:firstLine="420"/>
      <w:jc w:val="left"/>
      <w:textAlignment w:val="baseline"/>
    </w:pPr>
    <w:rPr>
      <w:rFonts w:ascii="Times New Roman" w:hAnsi="Times New Roman" w:eastAsia="宋体" w:cs="Times New Roman"/>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rFonts w:cs="Times New Roman"/>
      <w:color w:val="0000FF"/>
      <w:u w:val="single"/>
    </w:rPr>
  </w:style>
  <w:style w:type="character" w:customStyle="1" w:styleId="19">
    <w:name w:val="正文文本 Char"/>
    <w:basedOn w:val="16"/>
    <w:link w:val="2"/>
    <w:qFormat/>
    <w:uiPriority w:val="0"/>
    <w:rPr>
      <w:kern w:val="2"/>
      <w:sz w:val="21"/>
      <w:szCs w:val="24"/>
    </w:rPr>
  </w:style>
  <w:style w:type="character" w:customStyle="1" w:styleId="20">
    <w:name w:val="正文文本缩进 Char"/>
    <w:basedOn w:val="16"/>
    <w:link w:val="6"/>
    <w:qFormat/>
    <w:uiPriority w:val="0"/>
    <w:rPr>
      <w:kern w:val="2"/>
      <w:sz w:val="21"/>
      <w:szCs w:val="24"/>
    </w:rPr>
  </w:style>
  <w:style w:type="character" w:customStyle="1" w:styleId="21">
    <w:name w:val="日期 Char"/>
    <w:basedOn w:val="16"/>
    <w:link w:val="8"/>
    <w:qFormat/>
    <w:uiPriority w:val="0"/>
    <w:rPr>
      <w:kern w:val="2"/>
      <w:sz w:val="21"/>
      <w:szCs w:val="24"/>
    </w:rPr>
  </w:style>
  <w:style w:type="character" w:customStyle="1" w:styleId="22">
    <w:name w:val="页脚 Char"/>
    <w:basedOn w:val="16"/>
    <w:link w:val="9"/>
    <w:qFormat/>
    <w:locked/>
    <w:uiPriority w:val="0"/>
    <w:rPr>
      <w:rFonts w:eastAsia="宋体"/>
      <w:kern w:val="2"/>
      <w:sz w:val="18"/>
      <w:szCs w:val="18"/>
      <w:lang w:val="en-US" w:eastAsia="zh-CN" w:bidi="ar-SA"/>
    </w:rPr>
  </w:style>
  <w:style w:type="character" w:customStyle="1" w:styleId="23">
    <w:name w:val="标题 Char1"/>
    <w:link w:val="3"/>
    <w:qFormat/>
    <w:uiPriority w:val="0"/>
    <w:rPr>
      <w:rFonts w:eastAsia="方正小标宋_GBK"/>
      <w:b/>
      <w:kern w:val="44"/>
      <w:sz w:val="36"/>
      <w:szCs w:val="32"/>
      <w:lang w:bidi="ar-SA"/>
    </w:rPr>
  </w:style>
  <w:style w:type="paragraph" w:customStyle="1" w:styleId="24">
    <w:name w:val="主送"/>
    <w:basedOn w:val="5"/>
    <w:next w:val="1"/>
    <w:qFormat/>
    <w:uiPriority w:val="0"/>
    <w:pPr>
      <w:widowControl/>
      <w:spacing w:line="600" w:lineRule="exact"/>
      <w:jc w:val="left"/>
    </w:pPr>
    <w:rPr>
      <w:rFonts w:ascii="Calibri" w:hAnsi="Calibri"/>
      <w:kern w:val="0"/>
      <w:sz w:val="20"/>
    </w:rPr>
  </w:style>
  <w:style w:type="character" w:customStyle="1" w:styleId="25">
    <w:name w:val="Char Char1"/>
    <w:qFormat/>
    <w:uiPriority w:val="0"/>
    <w:rPr>
      <w:rFonts w:eastAsia="方正小标宋_GBK"/>
      <w:b/>
      <w:kern w:val="44"/>
      <w:sz w:val="36"/>
      <w:szCs w:val="32"/>
      <w:lang w:bidi="ar-SA"/>
    </w:rPr>
  </w:style>
  <w:style w:type="character" w:customStyle="1" w:styleId="26">
    <w:name w:val="Char Char5"/>
    <w:qFormat/>
    <w:uiPriority w:val="0"/>
    <w:rPr>
      <w:rFonts w:ascii="Times New Roman" w:hAnsi="Times New Roman" w:eastAsia="方正小标宋_GBK" w:cs="Times New Roman"/>
      <w:b/>
      <w:kern w:val="44"/>
      <w:sz w:val="36"/>
      <w:szCs w:val="32"/>
    </w:rPr>
  </w:style>
  <w:style w:type="paragraph" w:customStyle="1" w:styleId="27">
    <w:name w:val="_Style 27"/>
    <w:basedOn w:val="1"/>
    <w:qFormat/>
    <w:uiPriority w:val="0"/>
    <w:rPr>
      <w:sz w:val="28"/>
      <w:szCs w:val="28"/>
    </w:rPr>
  </w:style>
  <w:style w:type="character" w:customStyle="1" w:styleId="28">
    <w:name w:val="Char Char"/>
    <w:qFormat/>
    <w:locked/>
    <w:uiPriority w:val="0"/>
    <w:rPr>
      <w:rFonts w:ascii="方正小标宋_GBK" w:eastAsia="方正小标宋_GBK"/>
      <w:b/>
      <w:kern w:val="44"/>
      <w:sz w:val="36"/>
      <w:szCs w:val="32"/>
      <w:lang w:bidi="ar-SA"/>
    </w:rPr>
  </w:style>
  <w:style w:type="character" w:customStyle="1" w:styleId="29">
    <w:name w:val="标题 Char"/>
    <w:qFormat/>
    <w:locked/>
    <w:uiPriority w:val="0"/>
    <w:rPr>
      <w:rFonts w:ascii="方正小标宋_GBK" w:eastAsia="方正小标宋_GBK"/>
      <w:b/>
      <w:kern w:val="44"/>
      <w:sz w:val="36"/>
      <w:szCs w:val="32"/>
      <w:lang w:bidi="ar-SA"/>
    </w:rPr>
  </w:style>
  <w:style w:type="paragraph" w:customStyle="1" w:styleId="30">
    <w:name w:val="样式 标题 3 Char + 四号2"/>
    <w:basedOn w:val="1"/>
    <w:qFormat/>
    <w:uiPriority w:val="99"/>
    <w:pPr>
      <w:keepNext/>
      <w:keepLines/>
      <w:spacing w:line="360" w:lineRule="auto"/>
    </w:pPr>
    <w:rPr>
      <w:rFonts w:cs="宋体"/>
      <w:b/>
      <w:sz w:val="28"/>
      <w:szCs w:val="28"/>
    </w:rPr>
  </w:style>
  <w:style w:type="paragraph" w:customStyle="1" w:styleId="31">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2">
    <w:name w:val="NormalCharacter"/>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8</Pages>
  <Words>2527</Words>
  <Characters>2690</Characters>
  <Lines>4</Lines>
  <Paragraphs>6</Paragraphs>
  <TotalTime>7</TotalTime>
  <ScaleCrop>false</ScaleCrop>
  <LinksUpToDate>false</LinksUpToDate>
  <CharactersWithSpaces>2724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Raymond Lam</cp:lastModifiedBy>
  <cp:lastPrinted>2025-11-18T07:07:00Z</cp:lastPrinted>
  <dcterms:modified xsi:type="dcterms:W3CDTF">2025-12-31T02:03:59Z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2480884322CE4042AA32E72FEBEC1436_13</vt:lpwstr>
  </property>
  <property fmtid="{D5CDD505-2E9C-101B-9397-08002B2CF9AE}" pid="4" name="KSOTemplateDocerSaveRecord">
    <vt:lpwstr>eyJoZGlkIjoiYjBhNmRmNDQxNmVhOTg4NWY0OTIyYzZlZmI0MjllZjQiLCJ1c2VySWQiOiIyODE2NjQzNzYifQ==</vt:lpwstr>
  </property>
</Properties>
</file>