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07569A54">
      <w:pPr>
        <w:pStyle w:val="19"/>
        <w:ind w:left="0" w:leftChars="0" w:firstLine="0" w:firstLineChars="0"/>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4"/>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114</w:t>
            </w:r>
            <w:r>
              <w:rPr>
                <w:rFonts w:ascii="仿宋_GB2312" w:hAnsi="华文中宋" w:eastAsia="仿宋_GB2312"/>
                <w:sz w:val="32"/>
                <w:szCs w:val="32"/>
              </w:rPr>
              <w:t>号</w:t>
            </w:r>
          </w:p>
        </w:tc>
      </w:tr>
    </w:tbl>
    <w:p w14:paraId="2B2D0CAB">
      <w:pPr>
        <w:widowControl/>
        <w:snapToGrid w:val="0"/>
        <w:spacing w:line="600" w:lineRule="exact"/>
        <w:ind w:right="-197" w:rightChars="-94"/>
        <w:jc w:val="both"/>
        <w:rPr>
          <w:rFonts w:hint="eastAsia" w:ascii="仿宋_GB2312" w:hAnsi="华文中宋" w:eastAsia="仿宋_GB2312" w:cs="Times New Roman"/>
          <w:sz w:val="32"/>
          <w:szCs w:val="32"/>
        </w:rPr>
      </w:pPr>
    </w:p>
    <w:p w14:paraId="2E1897C3">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kern w:val="44"/>
          <w:sz w:val="44"/>
          <w:szCs w:val="44"/>
        </w:rPr>
        <w:t>关于</w:t>
      </w:r>
      <w:r>
        <w:rPr>
          <w:rFonts w:hint="eastAsia" w:ascii="方正小标宋简体" w:hAnsi="方正小标宋简体" w:eastAsia="方正小标宋简体" w:cs="方正小标宋简体"/>
          <w:kern w:val="44"/>
          <w:sz w:val="44"/>
          <w:szCs w:val="44"/>
          <w:lang w:val="en-US" w:eastAsia="zh-CN"/>
        </w:rPr>
        <w:t>110千伏东平站110千伏间隔扩建工程项目</w:t>
      </w:r>
      <w:r>
        <w:rPr>
          <w:rFonts w:hint="eastAsia" w:ascii="方正小标宋简体" w:hAnsi="方正小标宋简体" w:eastAsia="方正小标宋简体" w:cs="方正小标宋简体"/>
          <w:kern w:val="44"/>
          <w:sz w:val="44"/>
          <w:szCs w:val="44"/>
        </w:rPr>
        <w:t>核准的批复</w:t>
      </w:r>
    </w:p>
    <w:p w14:paraId="09BAB8C7">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5FE930F0">
      <w:pPr>
        <w:adjustRightInd w:val="0"/>
        <w:snapToGrid w:val="0"/>
        <w:spacing w:line="640" w:lineRule="exact"/>
        <w:ind w:right="128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snapToGrid w:val="0"/>
          <w:color w:val="000000" w:themeColor="text1"/>
          <w:kern w:val="0"/>
          <w:sz w:val="32"/>
          <w:szCs w:val="32"/>
          <w:lang w:eastAsia="zh-CN"/>
          <w14:textFill>
            <w14:solidFill>
              <w14:schemeClr w14:val="tx1"/>
            </w14:solidFill>
          </w14:textFill>
        </w:rPr>
        <w:t>博白县发展和改革</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局：</w:t>
      </w:r>
    </w:p>
    <w:p w14:paraId="2B9D0346">
      <w:pPr>
        <w:keepNext w:val="0"/>
        <w:keepLines w:val="0"/>
        <w:widowControl/>
        <w:suppressLineNumbers w:val="0"/>
        <w:jc w:val="left"/>
        <w:rPr>
          <w:rFonts w:ascii="仿宋_GB2312" w:hAnsi="Times New Roman" w:eastAsia="仿宋_GB2312" w:cs="Times New Roman"/>
          <w:bCs/>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报来《</w:t>
      </w:r>
      <w:r>
        <w:rPr>
          <w:rFonts w:hint="eastAsia" w:ascii="仿宋_GB2312" w:hAnsi="Times New Roman" w:eastAsia="仿宋_GB2312" w:cs="Times New Roman"/>
          <w:snapToGrid w:val="0"/>
          <w:color w:val="000000" w:themeColor="text1"/>
          <w:kern w:val="0"/>
          <w:sz w:val="32"/>
          <w:szCs w:val="32"/>
          <w:lang w:eastAsia="zh-CN"/>
          <w14:textFill>
            <w14:solidFill>
              <w14:schemeClr w14:val="tx1"/>
            </w14:solidFill>
          </w14:textFill>
        </w:rPr>
        <w:t>博白县发展和改革</w:t>
      </w:r>
      <w:r>
        <w:rPr>
          <w:rFonts w:hint="eastAsia" w:ascii="仿宋_GB2312" w:hAnsi="Times New Roman" w:eastAsia="仿宋_GB2312" w:cs="Times New Roman"/>
          <w:snapToGrid w:val="0"/>
          <w:color w:val="000000" w:themeColor="text1"/>
          <w:kern w:val="0"/>
          <w:sz w:val="32"/>
          <w:szCs w:val="32"/>
          <w14:textFill>
            <w14:solidFill>
              <w14:schemeClr w14:val="tx1"/>
            </w14:solidFill>
          </w14:textFill>
        </w:rPr>
        <w:t>局</w:t>
      </w:r>
      <w:r>
        <w:rPr>
          <w:rFonts w:hint="eastAsia" w:ascii="仿宋_GB2312" w:hAnsi="Times New Roman" w:eastAsia="仿宋_GB2312" w:cs="Times New Roman"/>
          <w:color w:val="000000" w:themeColor="text1"/>
          <w:sz w:val="32"/>
          <w:szCs w:val="32"/>
          <w14:textFill>
            <w14:solidFill>
              <w14:schemeClr w14:val="tx1"/>
            </w14:solidFill>
          </w14:textFill>
        </w:rPr>
        <w:t>关于核准</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110千伏东平站110千伏间隔扩建工程</w:t>
      </w:r>
      <w:r>
        <w:rPr>
          <w:rFonts w:hint="eastAsia" w:ascii="仿宋_GB2312" w:hAnsi="Times New Roman" w:eastAsia="仿宋_GB2312" w:cs="Times New Roman"/>
          <w:color w:val="000000" w:themeColor="text1"/>
          <w:sz w:val="32"/>
          <w:szCs w:val="32"/>
          <w14:textFill>
            <w14:solidFill>
              <w14:schemeClr w14:val="tx1"/>
            </w14:solidFill>
          </w14:textFill>
        </w:rPr>
        <w:t>的请示》（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博发改报</w:t>
      </w:r>
      <w:r>
        <w:rPr>
          <w:rFonts w:hint="eastAsia" w:ascii="仿宋_GB2312" w:hAnsi="Times New Roman" w:eastAsia="仿宋_GB2312" w:cs="Times New Roman"/>
          <w:color w:val="000000" w:themeColor="text1"/>
          <w:sz w:val="32"/>
          <w:szCs w:val="32"/>
          <w14:textFill>
            <w14:solidFill>
              <w14:schemeClr w14:val="tx1"/>
            </w14:solidFill>
          </w14:textFill>
        </w:rPr>
        <w:t>〔2025〕</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210</w:t>
      </w:r>
      <w:r>
        <w:rPr>
          <w:rFonts w:hint="eastAsia" w:ascii="仿宋_GB2312" w:hAnsi="Times New Roman" w:eastAsia="仿宋_GB2312" w:cs="Times New Roman"/>
          <w:color w:val="000000" w:themeColor="text1"/>
          <w:sz w:val="32"/>
          <w:szCs w:val="32"/>
          <w14:textFill>
            <w14:solidFill>
              <w14:schemeClr w14:val="tx1"/>
            </w14:solidFill>
          </w14:textFill>
        </w:rPr>
        <w:t>号）及相关材料收悉。经研究，现将该项目核准事项批复如下：</w:t>
      </w:r>
    </w:p>
    <w:p w14:paraId="7556991D">
      <w:pPr>
        <w:keepNext w:val="0"/>
        <w:keepLines w:val="0"/>
        <w:widowControl/>
        <w:suppressLineNumbers w:val="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一、</w:t>
      </w:r>
      <w:r>
        <w:rPr>
          <w:rFonts w:ascii="仿宋_GB2312" w:hAnsi="宋体" w:eastAsia="仿宋_GB2312" w:cs="仿宋_GB2312"/>
          <w:color w:val="000000"/>
          <w:kern w:val="0"/>
          <w:sz w:val="31"/>
          <w:szCs w:val="31"/>
          <w:lang w:val="en-US" w:eastAsia="zh-CN" w:bidi="ar"/>
        </w:rPr>
        <w:t>为满足博白射广嶂风电场四期工程的接入需要，</w:t>
      </w:r>
      <w:r>
        <w:rPr>
          <w:rFonts w:hint="eastAsia" w:ascii="仿宋_GB2312" w:hAnsi="Times New Roman" w:eastAsia="仿宋_GB2312" w:cs="Times New Roman"/>
          <w:color w:val="000000" w:themeColor="text1"/>
          <w:sz w:val="32"/>
          <w:szCs w:val="32"/>
          <w14:textFill>
            <w14:solidFill>
              <w14:schemeClr w14:val="tx1"/>
            </w14:solidFill>
          </w14:textFill>
        </w:rPr>
        <w:t>依据《行政许可法》《企业投资项目</w:t>
      </w:r>
      <w:r>
        <w:rPr>
          <w:rFonts w:hint="eastAsia" w:ascii="仿宋_GB2312" w:hAnsi="仿宋_GB2312" w:eastAsia="仿宋_GB2312" w:cs="仿宋_GB2312"/>
          <w:color w:val="000000" w:themeColor="text1"/>
          <w:sz w:val="32"/>
          <w:szCs w:val="32"/>
          <w14:textFill>
            <w14:solidFill>
              <w14:schemeClr w14:val="tx1"/>
            </w14:solidFill>
          </w14:textFill>
        </w:rPr>
        <w:t>核准和备案管理条例》《企业投资项目核准和备案管理办法》，原则同意建设</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110千伏东平站110千伏间隔扩建工程</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w:t>
      </w:r>
      <w:r>
        <w:rPr>
          <w:rFonts w:hint="eastAsia" w:ascii="仿宋_GB2312" w:hAnsi="仿宋_GB2312" w:eastAsia="仿宋_GB2312" w:cs="仿宋_GB2312"/>
          <w:color w:val="000000" w:themeColor="text1"/>
          <w:sz w:val="32"/>
          <w:szCs w:val="32"/>
          <w:lang w:val="zh-CN"/>
          <w14:textFill>
            <w14:solidFill>
              <w14:schemeClr w14:val="tx1"/>
            </w14:solidFill>
          </w14:textFill>
        </w:rPr>
        <w:t>。</w:t>
      </w:r>
    </w:p>
    <w:p w14:paraId="389F4DE1">
      <w:pPr>
        <w:keepNext w:val="0"/>
        <w:keepLines w:val="0"/>
        <w:widowControl/>
        <w:suppressLineNumbers w:val="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二、项目代码：</w:t>
      </w:r>
      <w:r>
        <w:rPr>
          <w:rFonts w:ascii="仿宋_GB2312" w:hAnsi="宋体" w:eastAsia="仿宋_GB2312" w:cs="仿宋_GB2312"/>
          <w:color w:val="000000"/>
          <w:kern w:val="0"/>
          <w:sz w:val="31"/>
          <w:szCs w:val="31"/>
          <w:lang w:val="en-US" w:eastAsia="zh-CN" w:bidi="ar"/>
        </w:rPr>
        <w:t>2511-450900-04-01-180415</w:t>
      </w:r>
      <w:r>
        <w:rPr>
          <w:rFonts w:ascii="仿宋" w:hAnsi="仿宋" w:eastAsia="仿宋" w:cs="仿宋"/>
          <w:color w:val="000000" w:themeColor="text1"/>
          <w:kern w:val="0"/>
          <w:sz w:val="31"/>
          <w:szCs w:val="31"/>
          <w:lang w:val="en-US" w:eastAsia="zh-CN" w:bidi="ar"/>
          <w14:textFill>
            <w14:solidFill>
              <w14:schemeClr w14:val="tx1"/>
            </w14:solidFill>
          </w14:textFill>
        </w:rPr>
        <w:t>。</w:t>
      </w:r>
    </w:p>
    <w:p w14:paraId="1D7E18C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三、项目建设单位：</w:t>
      </w:r>
      <w:r>
        <w:rPr>
          <w:rFonts w:ascii="仿宋_GB2312" w:hAnsi="宋体" w:eastAsia="仿宋_GB2312" w:cs="仿宋_GB2312"/>
          <w:color w:val="000000"/>
          <w:kern w:val="0"/>
          <w:sz w:val="31"/>
          <w:szCs w:val="31"/>
          <w:lang w:val="en-US" w:eastAsia="zh-CN" w:bidi="ar"/>
        </w:rPr>
        <w:t>广西新电力投资集团有限责任公司博白供电局</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14:paraId="3DFC5870">
      <w:pPr>
        <w:keepNext w:val="0"/>
        <w:keepLines w:val="0"/>
        <w:widowControl/>
        <w:suppressLineNumbers w:val="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四、项目建设地点：</w:t>
      </w:r>
      <w:r>
        <w:rPr>
          <w:rFonts w:ascii="仿宋_GB2312" w:hAnsi="宋体" w:eastAsia="仿宋_GB2312" w:cs="仿宋_GB2312"/>
          <w:color w:val="000000"/>
          <w:kern w:val="0"/>
          <w:sz w:val="31"/>
          <w:szCs w:val="31"/>
          <w:lang w:val="en-US" w:eastAsia="zh-CN" w:bidi="ar"/>
        </w:rPr>
        <w:t>玉林市博白县东平镇</w:t>
      </w:r>
      <w:r>
        <w:rPr>
          <w:rFonts w:hint="eastAsia" w:ascii="仿宋_GB2312" w:hAnsi="Times New Roman" w:eastAsia="仿宋_GB2312" w:cs="Times New Roman"/>
          <w:color w:val="000000" w:themeColor="text1"/>
          <w:kern w:val="0"/>
          <w:sz w:val="32"/>
          <w:szCs w:val="32"/>
          <w14:textFill>
            <w14:solidFill>
              <w14:schemeClr w14:val="tx1"/>
            </w14:solidFill>
          </w14:textFill>
        </w:rPr>
        <w:t>。</w:t>
      </w:r>
    </w:p>
    <w:p w14:paraId="26CD8AA6">
      <w:pPr>
        <w:keepNext w:val="0"/>
        <w:keepLines w:val="0"/>
        <w:widowControl/>
        <w:suppressLineNumbers w:val="0"/>
        <w:jc w:val="lef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lang w:eastAsia="zh-CN"/>
          <w14:textFill>
            <w14:solidFill>
              <w14:schemeClr w14:val="tx1"/>
            </w14:solidFill>
          </w14:textFill>
        </w:rPr>
        <w:t>　　</w:t>
      </w:r>
      <w:r>
        <w:rPr>
          <w:rFonts w:hint="eastAsia" w:ascii="仿宋_GB2312" w:hAnsi="Times New Roman" w:eastAsia="仿宋_GB2312" w:cs="Times New Roman"/>
          <w:color w:val="000000" w:themeColor="text1"/>
          <w:sz w:val="32"/>
          <w:szCs w:val="32"/>
          <w14:textFill>
            <w14:solidFill>
              <w14:schemeClr w14:val="tx1"/>
            </w14:solidFill>
          </w14:textFill>
        </w:rPr>
        <w:t>五、项目建设规模及主要内容：</w:t>
      </w:r>
      <w:bookmarkStart w:id="0" w:name="_Toc1995_WPSOffice_Level3"/>
      <w:bookmarkStart w:id="1" w:name="_Toc6301"/>
      <w:bookmarkStart w:id="2" w:name="_Toc103065871"/>
      <w:bookmarkStart w:id="3" w:name="_Toc9123"/>
      <w:bookmarkStart w:id="4" w:name="_Toc29109_WPSOffice_Level3"/>
      <w:bookmarkStart w:id="5" w:name="_Toc102_WPSOffice_Level3"/>
      <w:bookmarkStart w:id="6" w:name="_Toc14574"/>
    </w:p>
    <w:p w14:paraId="6CCC1566">
      <w:pPr>
        <w:keepNext w:val="0"/>
        <w:keepLines w:val="0"/>
        <w:widowControl/>
        <w:suppressLineNumbers w:val="0"/>
        <w:jc w:val="left"/>
        <w:rPr>
          <w:rFonts w:ascii="Times New Roman" w:hAnsi="Times New Roman" w:eastAsia="宋体" w:cs="Times New Roman"/>
        </w:rPr>
      </w:pPr>
      <w:r>
        <w:rPr>
          <w:rFonts w:hint="eastAsia" w:ascii="楷体_GB2312" w:hAnsi="宋体" w:eastAsia="楷体_GB2312" w:cs="楷体_GB2312"/>
          <w:color w:val="000000" w:themeColor="text1"/>
          <w:kern w:val="0"/>
          <w:sz w:val="31"/>
          <w:szCs w:val="31"/>
          <w:lang w:val="en-US" w:eastAsia="zh-CN" w:bidi="ar"/>
          <w14:textFill>
            <w14:solidFill>
              <w14:schemeClr w14:val="tx1"/>
            </w14:solidFill>
          </w14:textFill>
        </w:rPr>
        <w:t>　　</w:t>
      </w:r>
      <w:r>
        <w:rPr>
          <w:rFonts w:ascii="仿宋_GB2312" w:hAnsi="宋体" w:eastAsia="仿宋_GB2312" w:cs="仿宋_GB2312"/>
          <w:color w:val="000000"/>
          <w:kern w:val="0"/>
          <w:sz w:val="31"/>
          <w:szCs w:val="31"/>
          <w:lang w:val="en-US" w:eastAsia="zh-CN" w:bidi="ar"/>
        </w:rPr>
        <w:t>主变压器：终期2台，前期（1×40+1×50+1×40）兆伏安（其</w:t>
      </w:r>
    </w:p>
    <w:p w14:paraId="731CCB68">
      <w:pPr>
        <w:keepNext w:val="0"/>
        <w:keepLines w:val="0"/>
        <w:widowControl/>
        <w:suppressLineNumbers w:val="0"/>
        <w:jc w:val="left"/>
        <w:rPr>
          <w:rFonts w:ascii="Times New Roman" w:hAnsi="Times New Roman" w:eastAsia="宋体" w:cs="Times New Roman"/>
        </w:rPr>
      </w:pPr>
      <w:r>
        <w:rPr>
          <w:rFonts w:hint="eastAsia" w:ascii="仿宋_GB2312" w:hAnsi="宋体" w:eastAsia="仿宋_GB2312" w:cs="仿宋_GB2312"/>
          <w:color w:val="000000"/>
          <w:kern w:val="0"/>
          <w:sz w:val="31"/>
          <w:szCs w:val="31"/>
          <w:lang w:val="en-US" w:eastAsia="zh-CN" w:bidi="ar"/>
        </w:rPr>
        <w:t>中1台40兆伏安主变为临时并接在#2主变上），本期不新增；</w:t>
      </w:r>
    </w:p>
    <w:p w14:paraId="74AD1D89">
      <w:pPr>
        <w:keepNext w:val="0"/>
        <w:keepLines w:val="0"/>
        <w:widowControl/>
        <w:suppressLineNumbers w:val="0"/>
        <w:jc w:val="left"/>
        <w:rPr>
          <w:rFonts w:ascii="Times New Roman" w:hAnsi="Times New Roman" w:eastAsia="宋体" w:cs="Times New Roman"/>
        </w:rPr>
      </w:pPr>
      <w:r>
        <w:rPr>
          <w:rFonts w:hint="eastAsia" w:ascii="仿宋_GB2312" w:hAnsi="宋体" w:eastAsia="仿宋_GB2312" w:cs="仿宋_GB2312"/>
          <w:color w:val="000000"/>
          <w:kern w:val="0"/>
          <w:sz w:val="31"/>
          <w:szCs w:val="31"/>
          <w:lang w:val="en-US" w:eastAsia="zh-CN" w:bidi="ar"/>
        </w:rPr>
        <w:t>110千伏出线：终期6回，前期4回，本期新增1回；110千伏出线：终期8回，前期8回，本期不新增；35千伏出线：终期6回，前期4回，本期不新增；10千伏并联电容器：终期2×（2×12）兆乏，前期2×（2×12）兆乏，本期不新增。</w:t>
      </w:r>
    </w:p>
    <w:p w14:paraId="153D30F2">
      <w:pPr>
        <w:keepNext w:val="0"/>
        <w:keepLines w:val="0"/>
        <w:widowControl/>
        <w:suppressLineNumbers w:val="0"/>
        <w:ind w:firstLine="62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仿宋_GB2312" w:hAnsi="宋体" w:eastAsia="仿宋_GB2312" w:cs="仿宋_GB2312"/>
          <w:color w:val="000000"/>
          <w:kern w:val="0"/>
          <w:sz w:val="31"/>
          <w:szCs w:val="31"/>
          <w:lang w:val="en-US" w:eastAsia="zh-CN" w:bidi="ar"/>
        </w:rPr>
        <w:t>本期间隔扩建工程在变电站原围墙内进行</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w:t>
      </w:r>
    </w:p>
    <w:p w14:paraId="26259BE3">
      <w:pPr>
        <w:keepNext w:val="0"/>
        <w:keepLines w:val="0"/>
        <w:widowControl/>
        <w:suppressLineNumbers w:val="0"/>
        <w:jc w:val="left"/>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Cs/>
          <w:color w:val="000000" w:themeColor="text1"/>
          <w:sz w:val="32"/>
          <w:szCs w:val="32"/>
          <w:lang w:eastAsia="zh-CN"/>
          <w14:textFill>
            <w14:solidFill>
              <w14:schemeClr w14:val="tx1"/>
            </w14:solidFill>
          </w14:textFill>
        </w:rPr>
        <w:t>　　</w:t>
      </w:r>
      <w:r>
        <w:rPr>
          <w:rFonts w:hint="eastAsia" w:ascii="仿宋_GB2312" w:hAnsi="宋体" w:eastAsia="仿宋_GB2312" w:cs="宋体"/>
          <w:bCs/>
          <w:color w:val="000000" w:themeColor="text1"/>
          <w:sz w:val="32"/>
          <w:szCs w:val="32"/>
          <w14:textFill>
            <w14:solidFill>
              <w14:schemeClr w14:val="tx1"/>
            </w14:solidFill>
          </w14:textFill>
        </w:rPr>
        <w:t>六、</w:t>
      </w:r>
      <w:r>
        <w:rPr>
          <w:rFonts w:hint="eastAsia" w:ascii="仿宋_GB2312" w:hAnsi="宋体" w:eastAsia="仿宋_GB2312" w:cs="宋体"/>
          <w:bCs/>
          <w:color w:val="000000" w:themeColor="text1"/>
          <w:sz w:val="32"/>
          <w:szCs w:val="32"/>
          <w:lang w:eastAsia="zh-CN"/>
          <w14:textFill>
            <w14:solidFill>
              <w14:schemeClr w14:val="tx1"/>
            </w14:solidFill>
          </w14:textFill>
        </w:rPr>
        <w:t>项目</w:t>
      </w:r>
      <w:r>
        <w:rPr>
          <w:rFonts w:hint="eastAsia" w:ascii="仿宋_GB2312" w:hAnsi="宋体" w:eastAsia="仿宋_GB2312" w:cs="宋体"/>
          <w:bCs/>
          <w:color w:val="000000" w:themeColor="text1"/>
          <w:sz w:val="32"/>
          <w:szCs w:val="32"/>
          <w14:textFill>
            <w14:solidFill>
              <w14:schemeClr w14:val="tx1"/>
            </w14:solidFill>
          </w14:textFill>
        </w:rPr>
        <w:t>投资估算和资金来源</w:t>
      </w:r>
      <w:bookmarkEnd w:id="0"/>
      <w:bookmarkEnd w:id="1"/>
      <w:bookmarkEnd w:id="2"/>
      <w:bookmarkEnd w:id="3"/>
      <w:bookmarkEnd w:id="4"/>
      <w:bookmarkEnd w:id="5"/>
      <w:bookmarkEnd w:id="6"/>
      <w:r>
        <w:rPr>
          <w:rFonts w:hint="eastAsia" w:ascii="仿宋_GB2312" w:hAnsi="宋体" w:eastAsia="仿宋_GB2312" w:cs="宋体"/>
          <w:bCs/>
          <w:color w:val="000000" w:themeColor="text1"/>
          <w:sz w:val="32"/>
          <w:szCs w:val="32"/>
          <w14:textFill>
            <w14:solidFill>
              <w14:schemeClr w14:val="tx1"/>
            </w14:solidFill>
          </w14:textFill>
        </w:rPr>
        <w:t>：</w:t>
      </w:r>
      <w:r>
        <w:rPr>
          <w:rFonts w:ascii="仿宋_GB2312" w:hAnsi="宋体" w:eastAsia="仿宋_GB2312" w:cs="仿宋_GB2312"/>
          <w:color w:val="000000"/>
          <w:kern w:val="0"/>
          <w:sz w:val="31"/>
          <w:szCs w:val="31"/>
          <w:lang w:val="en-US" w:eastAsia="zh-CN" w:bidi="ar"/>
        </w:rPr>
        <w:t>该工程项目静态投资242万元，</w:t>
      </w:r>
      <w:r>
        <w:rPr>
          <w:rFonts w:hint="eastAsia" w:ascii="仿宋_GB2312" w:hAnsi="宋体" w:eastAsia="仿宋_GB2312" w:cs="仿宋_GB2312"/>
          <w:color w:val="000000"/>
          <w:kern w:val="0"/>
          <w:sz w:val="31"/>
          <w:szCs w:val="31"/>
          <w:lang w:val="en-US" w:eastAsia="zh-CN" w:bidi="ar"/>
        </w:rPr>
        <w:t>动态投资245万元。建设单位出资49万元（占动态投资的20%），其余196万元向商业银行贷款解决</w:t>
      </w:r>
      <w:r>
        <w:rPr>
          <w:rFonts w:hint="eastAsia" w:ascii="仿宋_GB2312" w:hAnsi="宋体" w:eastAsia="仿宋_GB2312" w:cs="宋体"/>
          <w:bCs/>
          <w:color w:val="000000" w:themeColor="text1"/>
          <w:sz w:val="32"/>
          <w:szCs w:val="32"/>
          <w14:textFill>
            <w14:solidFill>
              <w14:schemeClr w14:val="tx1"/>
            </w14:solidFill>
          </w14:textFill>
        </w:rPr>
        <w:t>。</w:t>
      </w:r>
      <w:bookmarkStart w:id="7" w:name="_GoBack"/>
      <w:bookmarkEnd w:id="7"/>
    </w:p>
    <w:p w14:paraId="1CDBE2AF">
      <w:pPr>
        <w:spacing w:line="640" w:lineRule="exact"/>
        <w:ind w:firstLine="640" w:firstLineChars="200"/>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w:t>
      </w:r>
      <w:r>
        <w:rPr>
          <w:rFonts w:hint="eastAsia" w:ascii="仿宋_GB2312" w:hAnsi="宋体" w:eastAsia="仿宋_GB2312" w:cs="Times New Roman"/>
          <w:color w:val="000000" w:themeColor="text1"/>
          <w:sz w:val="32"/>
          <w:szCs w:val="32"/>
          <w14:textFill>
            <w14:solidFill>
              <w14:schemeClr w14:val="tx1"/>
            </w14:solidFill>
          </w14:textFill>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47B22DAF">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八、请项目建设单位严格执行国家及自治区有关招标投标的规定，按照本批复所附《招标事项核准意见表》的要求，依法开展项目招标工作。</w:t>
      </w:r>
    </w:p>
    <w:p w14:paraId="597E3282">
      <w:pPr>
        <w:keepNext w:val="0"/>
        <w:keepLines w:val="0"/>
        <w:widowControl/>
        <w:suppressLineNumbers w:val="0"/>
        <w:ind w:firstLine="640" w:firstLineChars="200"/>
        <w:jc w:val="left"/>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九、按照相关法律、行政法规的规定，核准项目的相关依据是</w:t>
      </w:r>
      <w:r>
        <w:rPr>
          <w:rFonts w:ascii="仿宋_GB2312" w:hAnsi="宋体" w:eastAsia="仿宋_GB2312" w:cs="仿宋_GB2312"/>
          <w:color w:val="000000"/>
          <w:kern w:val="0"/>
          <w:sz w:val="31"/>
          <w:szCs w:val="31"/>
          <w:lang w:val="en-US" w:eastAsia="zh-CN" w:bidi="ar"/>
        </w:rPr>
        <w:t>《广西“十四五”110千伏及以上电网规划》</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不动产权证（桂（2020）博白县不动产权第</w:t>
      </w:r>
      <w:r>
        <w:rPr>
          <w:rFonts w:hint="eastAsia" w:ascii="仿宋_GB2312" w:hAnsi="宋体" w:eastAsia="仿宋_GB2312" w:cs="仿宋_GB2312"/>
          <w:color w:val="000000"/>
          <w:kern w:val="0"/>
          <w:sz w:val="31"/>
          <w:szCs w:val="31"/>
          <w:lang w:val="en-US" w:eastAsia="zh-CN" w:bidi="ar"/>
        </w:rPr>
        <w:t>0014361号）</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及</w:t>
      </w:r>
      <w:r>
        <w:rPr>
          <w:rFonts w:ascii="仿宋_GB2312" w:hAnsi="宋体" w:eastAsia="仿宋_GB2312" w:cs="仿宋_GB2312"/>
          <w:color w:val="000000"/>
          <w:kern w:val="0"/>
          <w:sz w:val="31"/>
          <w:szCs w:val="31"/>
          <w:lang w:val="en-US" w:eastAsia="zh-CN" w:bidi="ar"/>
        </w:rPr>
        <w:t>《关于110千伏东平站110千伏间</w:t>
      </w:r>
      <w:r>
        <w:rPr>
          <w:rFonts w:hint="eastAsia" w:ascii="仿宋_GB2312" w:hAnsi="宋体" w:eastAsia="仿宋_GB2312" w:cs="仿宋_GB2312"/>
          <w:color w:val="000000"/>
          <w:kern w:val="0"/>
          <w:sz w:val="31"/>
          <w:szCs w:val="31"/>
          <w:lang w:val="en-US" w:eastAsia="zh-CN" w:bidi="ar"/>
        </w:rPr>
        <w:t>隔扩建工程可行性研究报告的批复》（新电力投资〔2025〕123号）</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等文件。</w:t>
      </w:r>
    </w:p>
    <w:p w14:paraId="01CC9555">
      <w:pPr>
        <w:keepNext w:val="0"/>
        <w:keepLines w:val="0"/>
        <w:widowControl/>
        <w:suppressLineNumbers w:val="0"/>
        <w:ind w:firstLine="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w:t>
      </w:r>
      <w:r>
        <w:rPr>
          <w:rFonts w:hint="eastAsia" w:ascii="仿宋_GB2312" w:hAnsi="宋体" w:eastAsia="仿宋_GB2312" w:cs="Times New Roman"/>
          <w:color w:val="000000" w:themeColor="text1"/>
          <w:sz w:val="32"/>
          <w:szCs w:val="32"/>
          <w14:textFill>
            <w14:solidFill>
              <w14:schemeClr w14:val="tx1"/>
            </w14:solidFill>
          </w14:textFill>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09EF7808">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十一、</w:t>
      </w:r>
      <w:r>
        <w:rPr>
          <w:rFonts w:hint="eastAsia" w:ascii="仿宋_GB2312" w:hAnsi="宋体" w:eastAsia="仿宋_GB2312" w:cs="Times New Roman"/>
          <w:color w:val="000000" w:themeColor="text1"/>
          <w:sz w:val="32"/>
          <w:szCs w:val="32"/>
          <w14:textFill>
            <w14:solidFill>
              <w14:schemeClr w14:val="tx1"/>
            </w14:solidFill>
          </w14:textFill>
        </w:rPr>
        <w:t>请项目建设单位在项目开工建设前，依据相关法律、行政法规规定办理规划许可、土地使用、资源利用、</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节能、</w:t>
      </w:r>
      <w:r>
        <w:rPr>
          <w:rFonts w:hint="eastAsia" w:ascii="仿宋_GB2312" w:hAnsi="宋体" w:eastAsia="仿宋_GB2312" w:cs="Times New Roman"/>
          <w:color w:val="000000" w:themeColor="text1"/>
          <w:sz w:val="32"/>
          <w:szCs w:val="32"/>
          <w14:textFill>
            <w14:solidFill>
              <w14:schemeClr w14:val="tx1"/>
            </w14:solidFill>
          </w14:textFill>
        </w:rPr>
        <w:t>安全生产、环评等相关报建手续。</w:t>
      </w:r>
    </w:p>
    <w:p w14:paraId="3E3AF5C5">
      <w:pPr>
        <w:spacing w:line="640" w:lineRule="exact"/>
        <w:ind w:firstLine="640" w:firstLineChars="200"/>
        <w:rPr>
          <w:rFonts w:ascii="仿宋_GB2312" w:hAnsi="宋体"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十二、项目建设单位要切实抓好建设安全管理工作，严格执行国家安全生产法律法规及行业规章制度，确保安全生产责任落实到位，杜绝发生安全事故；要按照《建设工程质量管理条例》（国务院令第279号）、</w:t>
      </w:r>
      <w:r>
        <w:rPr>
          <w:rFonts w:hint="eastAsia" w:ascii="仿宋_GB2312" w:hAnsi="Times New Roman" w:eastAsia="仿宋_GB2312" w:cs="Times New Roman"/>
          <w:color w:val="000000" w:themeColor="text1"/>
          <w:sz w:val="32"/>
          <w:szCs w:val="32"/>
          <w14:textFill>
            <w14:solidFill>
              <w14:schemeClr w14:val="tx1"/>
            </w14:solidFill>
          </w14:textFill>
        </w:rPr>
        <w:t>《国家能源局关于进一步明确电力建设工程质量监督机构业务工作的通知》（国能函安全〔2020〕39号）</w:t>
      </w:r>
      <w:r>
        <w:rPr>
          <w:rFonts w:hint="eastAsia" w:ascii="仿宋_GB2312" w:hAnsi="宋体" w:eastAsia="仿宋_GB2312" w:cs="Times New Roman"/>
          <w:color w:val="000000" w:themeColor="text1"/>
          <w:sz w:val="32"/>
          <w:szCs w:val="32"/>
          <w14:textFill>
            <w14:solidFill>
              <w14:schemeClr w14:val="tx1"/>
            </w14:solidFill>
          </w14:textFill>
        </w:rPr>
        <w:t>和国家能源局有关规定，及时向电力质监机构办理质量监督注册手续、自觉接受质量监督检查。</w:t>
      </w:r>
    </w:p>
    <w:p w14:paraId="0A824E7C">
      <w:pPr>
        <w:spacing w:line="64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Times New Roman"/>
          <w:color w:val="000000" w:themeColor="text1"/>
          <w:sz w:val="32"/>
          <w:szCs w:val="32"/>
          <w14:textFill>
            <w14:solidFill>
              <w14:schemeClr w14:val="tx1"/>
            </w14:solidFill>
          </w14:textFill>
        </w:rPr>
        <w:t>十三、</w:t>
      </w:r>
      <w:r>
        <w:rPr>
          <w:rFonts w:hint="eastAsia" w:ascii="仿宋_GB2312" w:hAnsi="Times New Roman" w:eastAsia="仿宋_GB2312" w:cs="Times New Roman"/>
          <w:color w:val="000000" w:themeColor="text1"/>
          <w:sz w:val="32"/>
          <w:szCs w:val="32"/>
          <w14:textFill>
            <w14:solidFill>
              <w14:schemeClr w14:val="tx1"/>
            </w14:solidFill>
          </w14:textFill>
        </w:rPr>
        <w:t>项目业主应切实履行安全生产主体责任，做好施工安全管理和工程质量管控等各项工作，有效防范安全生产和质量事故的发生，我委就项目在安全管理和质量管控等方面需要履行的相关责任和义务进行书面告知。</w:t>
      </w:r>
    </w:p>
    <w:p w14:paraId="3CDA5C7E">
      <w:pPr>
        <w:spacing w:line="640" w:lineRule="exact"/>
        <w:ind w:firstLine="640" w:firstLineChars="20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十四、</w:t>
      </w:r>
      <w:r>
        <w:rPr>
          <w:rFonts w:hint="eastAsia" w:ascii="仿宋_GB2312" w:hAnsi="宋体" w:eastAsia="仿宋_GB2312" w:cs="Times New Roman"/>
          <w:color w:val="000000" w:themeColor="text1"/>
          <w:sz w:val="32"/>
          <w:szCs w:val="32"/>
          <w14:textFill>
            <w14:solidFill>
              <w14:schemeClr w14:val="tx1"/>
            </w14:solidFill>
          </w14:textFill>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10CD4A9C">
      <w:pPr>
        <w:spacing w:line="640" w:lineRule="exact"/>
        <w:ind w:left="319" w:leftChars="152" w:firstLine="640" w:firstLineChars="200"/>
        <w:rPr>
          <w:rFonts w:ascii="仿宋_GB2312" w:hAnsi="黑体" w:eastAsia="仿宋_GB2312" w:cs="Times New Roman"/>
          <w:color w:val="000000" w:themeColor="text1"/>
          <w:sz w:val="32"/>
          <w:szCs w:val="32"/>
          <w14:textFill>
            <w14:solidFill>
              <w14:schemeClr w14:val="tx1"/>
            </w14:solidFill>
          </w14:textFill>
        </w:rPr>
      </w:pPr>
    </w:p>
    <w:p w14:paraId="51338D27">
      <w:pPr>
        <w:spacing w:line="640" w:lineRule="exact"/>
        <w:ind w:left="319" w:leftChars="152"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黑体" w:eastAsia="仿宋_GB2312" w:cs="Times New Roman"/>
          <w:color w:val="000000" w:themeColor="text1"/>
          <w:sz w:val="32"/>
          <w:szCs w:val="32"/>
          <w14:textFill>
            <w14:solidFill>
              <w14:schemeClr w14:val="tx1"/>
            </w14:solidFill>
          </w14:textFill>
        </w:rPr>
        <w:t>附件：</w:t>
      </w:r>
      <w:r>
        <w:rPr>
          <w:rFonts w:hint="eastAsia" w:ascii="仿宋_GB2312" w:hAnsi="Times New Roman" w:eastAsia="仿宋_GB2312" w:cs="Times New Roman"/>
          <w:color w:val="000000" w:themeColor="text1"/>
          <w:sz w:val="32"/>
          <w:szCs w:val="32"/>
          <w14:textFill>
            <w14:solidFill>
              <w14:schemeClr w14:val="tx1"/>
            </w14:solidFill>
          </w14:textFill>
        </w:rPr>
        <w:t>1、招标事项核准意见表</w:t>
      </w:r>
    </w:p>
    <w:p w14:paraId="22DE58B6">
      <w:pPr>
        <w:spacing w:line="640" w:lineRule="exact"/>
        <w:ind w:left="319" w:leftChars="152" w:firstLine="1600" w:firstLineChars="5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2、电力项目安全管理和质量管控事项告知书</w:t>
      </w:r>
    </w:p>
    <w:p w14:paraId="2BEA293F">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1FEDFF5B">
      <w:pPr>
        <w:spacing w:line="580" w:lineRule="exact"/>
        <w:rPr>
          <w:rFonts w:ascii="仿宋_GB2312" w:hAnsi="黑体" w:eastAsia="仿宋_GB2312" w:cs="Times New Roman"/>
          <w:color w:val="000000" w:themeColor="text1"/>
          <w:sz w:val="32"/>
          <w:szCs w:val="32"/>
          <w14:textFill>
            <w14:solidFill>
              <w14:schemeClr w14:val="tx1"/>
            </w14:solidFill>
          </w14:textFill>
        </w:rPr>
      </w:pPr>
    </w:p>
    <w:p w14:paraId="00B93032">
      <w:pPr>
        <w:spacing w:line="580" w:lineRule="exact"/>
        <w:ind w:firstLine="3520" w:firstLineChars="11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玉林市发展和改革委员会</w:t>
      </w:r>
    </w:p>
    <w:p w14:paraId="47AFF1E5">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cs="Times New Roman"/>
          <w:sz w:val="32"/>
          <w:szCs w:val="32"/>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2025年12月26日</w:t>
      </w:r>
    </w:p>
    <w:p w14:paraId="7D917819">
      <w:pPr>
        <w:spacing w:line="580" w:lineRule="exact"/>
        <w:ind w:firstLine="4160" w:firstLineChars="1300"/>
        <w:rPr>
          <w:rFonts w:hint="eastAsia" w:ascii="仿宋_GB2312" w:hAnsi="仿宋" w:eastAsia="仿宋_GB2312" w:cs="Times New Roman"/>
          <w:sz w:val="32"/>
          <w:szCs w:val="32"/>
        </w:rPr>
      </w:pPr>
    </w:p>
    <w:p w14:paraId="65996E3D">
      <w:pPr>
        <w:pStyle w:val="32"/>
        <w:keepNext w:val="0"/>
        <w:keepLines w:val="0"/>
        <w:pageBreakBefore w:val="0"/>
        <w:widowControl w:val="0"/>
        <w:kinsoku/>
        <w:wordWrap/>
        <w:overflowPunct/>
        <w:topLinePunct w:val="0"/>
        <w:bidi w:val="0"/>
        <w:snapToGrid/>
        <w:spacing w:line="640" w:lineRule="exact"/>
        <w:ind w:firstLine="4160" w:firstLineChars="1300"/>
        <w:jc w:val="both"/>
        <w:textAlignment w:val="auto"/>
        <w:rPr>
          <w:rFonts w:hint="eastAsia" w:ascii="仿宋_GB2312" w:hAnsi="宋体" w:eastAsia="仿宋_GB2312" w:cs="Times New Roman"/>
          <w:sz w:val="32"/>
          <w:szCs w:val="32"/>
        </w:rPr>
      </w:pPr>
    </w:p>
    <w:p w14:paraId="3BCAF4C2">
      <w:pPr>
        <w:pStyle w:val="32"/>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p w14:paraId="1F45A20E">
      <w:pPr>
        <w:pStyle w:val="32"/>
        <w:keepNext w:val="0"/>
        <w:keepLines w:val="0"/>
        <w:pageBreakBefore w:val="0"/>
        <w:widowControl w:val="0"/>
        <w:kinsoku/>
        <w:wordWrap/>
        <w:overflowPunct/>
        <w:topLinePunct w:val="0"/>
        <w:bidi w:val="0"/>
        <w:snapToGrid/>
        <w:spacing w:line="640" w:lineRule="exact"/>
        <w:jc w:val="both"/>
        <w:textAlignment w:val="auto"/>
        <w:rPr>
          <w:rFonts w:hint="eastAsia" w:ascii="仿宋_GB2312" w:hAnsi="宋体" w:eastAsia="仿宋_GB2312" w:cs="Times New Roman"/>
          <w:sz w:val="32"/>
          <w:szCs w:val="32"/>
        </w:rPr>
      </w:pPr>
    </w:p>
    <w:tbl>
      <w:tblPr>
        <w:tblStyle w:val="14"/>
        <w:tblW w:w="5153"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9"/>
        <w:gridCol w:w="4929"/>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48" w:hRule="atLeast"/>
        </w:trPr>
        <w:tc>
          <w:tcPr>
            <w:tcW w:w="5000" w:type="pct"/>
            <w:gridSpan w:val="2"/>
          </w:tcPr>
          <w:p w14:paraId="1A471383">
            <w:pPr>
              <w:spacing w:line="240" w:lineRule="atLeast"/>
              <w:rPr>
                <w:rFonts w:hint="eastAsia" w:ascii="黑体" w:hAnsi="黑体" w:eastAsia="方正小标宋简体" w:cs="Times New Roman"/>
                <w:b/>
                <w:sz w:val="32"/>
                <w:szCs w:val="32"/>
                <w:lang w:eastAsia="zh-CN"/>
              </w:rPr>
            </w:pPr>
            <w:r>
              <w:rPr>
                <w:rFonts w:hint="eastAsia" w:ascii="方正小标宋简体" w:hAnsi="华文中宋" w:eastAsia="方正小标宋简体" w:cs="Times New Roman"/>
                <w:b/>
                <w:sz w:val="28"/>
                <w:szCs w:val="28"/>
              </w:rPr>
              <w:t>公开属性：</w:t>
            </w:r>
            <w:r>
              <w:rPr>
                <w:rFonts w:hint="eastAsia" w:ascii="方正小标宋简体" w:hAnsi="华文中宋" w:eastAsia="方正小标宋简体" w:cs="Times New Roman"/>
                <w:b/>
                <w:sz w:val="28"/>
                <w:szCs w:val="28"/>
                <w:lang w:eastAsia="zh-CN"/>
              </w:rPr>
              <w:t>此件</w:t>
            </w:r>
            <w:r>
              <w:rPr>
                <w:rFonts w:hint="eastAsia" w:ascii="方正小标宋简体" w:hAnsi="方正小标宋简体" w:eastAsia="方正小标宋简体" w:cs="方正小标宋简体"/>
                <w:b/>
                <w:sz w:val="28"/>
                <w:szCs w:val="28"/>
              </w:rPr>
              <w:t>公开</w:t>
            </w:r>
            <w:r>
              <w:rPr>
                <w:rFonts w:hint="eastAsia" w:ascii="方正小标宋简体" w:hAnsi="方正小标宋简体" w:eastAsia="方正小标宋简体" w:cs="方正小标宋简体"/>
                <w:b/>
                <w:sz w:val="28"/>
                <w:szCs w:val="28"/>
                <w:lang w:eastAsia="zh-CN"/>
              </w:rPr>
              <w:t>发布</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84" w:hRule="atLeast"/>
        </w:trPr>
        <w:tc>
          <w:tcPr>
            <w:tcW w:w="2360" w:type="pct"/>
            <w:tcBorders>
              <w:bottom w:val="single" w:color="auto" w:sz="8" w:space="0"/>
            </w:tcBorders>
          </w:tcPr>
          <w:p w14:paraId="07466503">
            <w:pPr>
              <w:spacing w:line="240" w:lineRule="atLeast"/>
              <w:ind w:firstLine="280" w:firstLineChars="100"/>
              <w:rPr>
                <w:rFonts w:ascii="仿宋_GB2312" w:hAnsi="华文中宋" w:eastAsia="仿宋_GB2312" w:cs="Times New Roman"/>
                <w:sz w:val="28"/>
                <w:szCs w:val="28"/>
              </w:rPr>
            </w:pPr>
            <w:r>
              <w:rPr>
                <w:rFonts w:hint="eastAsia" w:ascii="仿宋_GB2312" w:hAnsi="华文中宋" w:eastAsia="仿宋_GB2312" w:cs="Times New Roman"/>
                <w:sz w:val="28"/>
                <w:szCs w:val="28"/>
              </w:rPr>
              <w:t>玉林市发展和改革委员会</w:t>
            </w:r>
          </w:p>
        </w:tc>
        <w:tc>
          <w:tcPr>
            <w:tcW w:w="2639" w:type="pct"/>
            <w:tcBorders>
              <w:bottom w:val="single" w:color="auto" w:sz="8" w:space="0"/>
            </w:tcBorders>
          </w:tcPr>
          <w:p w14:paraId="76E42DB3">
            <w:pPr>
              <w:wordWrap w:val="0"/>
              <w:spacing w:line="240" w:lineRule="atLeast"/>
              <w:jc w:val="right"/>
              <w:rPr>
                <w:rFonts w:ascii="仿宋_GB2312" w:hAnsi="华文中宋" w:eastAsia="仿宋_GB2312" w:cs="Times New Roman"/>
                <w:sz w:val="28"/>
                <w:szCs w:val="28"/>
              </w:rPr>
            </w:pPr>
            <w:r>
              <w:rPr>
                <w:rFonts w:hint="eastAsia" w:ascii="仿宋_GB2312" w:hAnsi="华文中宋" w:eastAsia="仿宋_GB2312" w:cs="Times New Roman"/>
                <w:sz w:val="28"/>
                <w:szCs w:val="28"/>
              </w:rPr>
              <w:t xml:space="preserve">  </w:t>
            </w:r>
            <w:r>
              <w:rPr>
                <w:rFonts w:ascii="仿宋_GB2312" w:hAnsi="华文中宋" w:eastAsia="仿宋_GB2312" w:cs="Times New Roman"/>
                <w:sz w:val="28"/>
                <w:szCs w:val="28"/>
              </w:rPr>
              <w:t>20</w:t>
            </w:r>
            <w:r>
              <w:rPr>
                <w:rFonts w:hint="eastAsia" w:ascii="仿宋_GB2312" w:hAnsi="华文中宋" w:eastAsia="仿宋_GB2312" w:cs="Times New Roman"/>
                <w:sz w:val="28"/>
                <w:szCs w:val="28"/>
              </w:rPr>
              <w:t>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26</w:t>
            </w:r>
            <w:r>
              <w:rPr>
                <w:rFonts w:ascii="仿宋_GB2312" w:hAnsi="华文中宋" w:eastAsia="仿宋_GB2312" w:cs="Times New Roman"/>
                <w:sz w:val="28"/>
                <w:szCs w:val="28"/>
              </w:rPr>
              <w:t>日</w:t>
            </w:r>
            <w:r>
              <w:rPr>
                <w:rFonts w:hint="eastAsia" w:ascii="仿宋_GB2312" w:hAnsi="华文中宋" w:eastAsia="仿宋_GB2312" w:cs="Times New Roman"/>
                <w:sz w:val="28"/>
                <w:szCs w:val="28"/>
              </w:rPr>
              <w:t xml:space="preserve"> 印发  </w:t>
            </w:r>
          </w:p>
        </w:tc>
      </w:tr>
    </w:tbl>
    <w:p w14:paraId="29ED3623">
      <w:pPr>
        <w:spacing w:afterLines="100"/>
        <w:jc w:val="lef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附件1</w:t>
      </w:r>
    </w:p>
    <w:p w14:paraId="2FC02BF5">
      <w:pPr>
        <w:spacing w:afterLines="50"/>
        <w:jc w:val="center"/>
        <w:rPr>
          <w:rFonts w:ascii="方正小标宋_GBK" w:hAnsi="黑体" w:eastAsia="方正小标宋_GBK" w:cs="Times New Roman"/>
          <w:color w:val="000000" w:themeColor="text1"/>
          <w:sz w:val="36"/>
          <w:szCs w:val="36"/>
          <w14:textFill>
            <w14:solidFill>
              <w14:schemeClr w14:val="tx1"/>
            </w14:solidFill>
          </w14:textFill>
        </w:rPr>
      </w:pPr>
      <w:r>
        <w:rPr>
          <w:rFonts w:hint="eastAsia" w:ascii="方正小标宋_GBK" w:hAnsi="黑体" w:eastAsia="方正小标宋_GBK" w:cs="Times New Roman"/>
          <w:color w:val="000000" w:themeColor="text1"/>
          <w:sz w:val="36"/>
          <w:szCs w:val="36"/>
          <w14:textFill>
            <w14:solidFill>
              <w14:schemeClr w14:val="tx1"/>
            </w14:solidFill>
          </w14:textFill>
        </w:rPr>
        <w:t>招标事项核准意见表</w:t>
      </w:r>
    </w:p>
    <w:p w14:paraId="173D0C13">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项目名称：</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110千伏东平站110千伏间隔扩建工程</w:t>
      </w:r>
    </w:p>
    <w:tbl>
      <w:tblPr>
        <w:tblStyle w:val="14"/>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7DCED303">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72388C41">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名称</w:t>
            </w:r>
          </w:p>
        </w:tc>
        <w:tc>
          <w:tcPr>
            <w:tcW w:w="2001" w:type="dxa"/>
            <w:gridSpan w:val="2"/>
            <w:vAlign w:val="center"/>
          </w:tcPr>
          <w:p w14:paraId="0627AFF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招标范围</w:t>
            </w:r>
          </w:p>
        </w:tc>
        <w:tc>
          <w:tcPr>
            <w:tcW w:w="1788" w:type="dxa"/>
            <w:gridSpan w:val="2"/>
            <w:vAlign w:val="center"/>
          </w:tcPr>
          <w:p w14:paraId="3BEF7298">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招标组织形式</w:t>
            </w:r>
          </w:p>
        </w:tc>
        <w:tc>
          <w:tcPr>
            <w:tcW w:w="2181" w:type="dxa"/>
            <w:gridSpan w:val="2"/>
            <w:vAlign w:val="center"/>
          </w:tcPr>
          <w:p w14:paraId="0B2C0E5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招标方式</w:t>
            </w:r>
          </w:p>
        </w:tc>
        <w:tc>
          <w:tcPr>
            <w:tcW w:w="1559" w:type="dxa"/>
            <w:vMerge w:val="restart"/>
            <w:vAlign w:val="center"/>
          </w:tcPr>
          <w:p w14:paraId="6AEC564B">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不采用招标方式</w:t>
            </w:r>
          </w:p>
        </w:tc>
      </w:tr>
      <w:tr w14:paraId="2DCA82B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4434D997">
            <w:pPr>
              <w:jc w:val="center"/>
              <w:rPr>
                <w:rFonts w:ascii="Times New Roman" w:hAnsi="Times New Roman" w:eastAsia="宋体" w:cs="Times New Roman"/>
                <w:b/>
                <w:color w:val="000000" w:themeColor="text1"/>
                <w:sz w:val="24"/>
                <w14:textFill>
                  <w14:solidFill>
                    <w14:schemeClr w14:val="tx1"/>
                  </w14:solidFill>
                </w14:textFill>
              </w:rPr>
            </w:pPr>
          </w:p>
        </w:tc>
        <w:tc>
          <w:tcPr>
            <w:tcW w:w="1008" w:type="dxa"/>
            <w:vAlign w:val="center"/>
          </w:tcPr>
          <w:p w14:paraId="7B472769">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全部</w:t>
            </w:r>
          </w:p>
          <w:p w14:paraId="2053F19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93" w:type="dxa"/>
            <w:vAlign w:val="center"/>
          </w:tcPr>
          <w:p w14:paraId="6657F7BF">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部分</w:t>
            </w:r>
          </w:p>
          <w:p w14:paraId="132B25E0">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850" w:type="dxa"/>
            <w:vAlign w:val="center"/>
          </w:tcPr>
          <w:p w14:paraId="12EF2273">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自行</w:t>
            </w:r>
          </w:p>
          <w:p w14:paraId="64CBAD12">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938" w:type="dxa"/>
            <w:vAlign w:val="center"/>
          </w:tcPr>
          <w:p w14:paraId="4E1F3235">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委托</w:t>
            </w:r>
          </w:p>
          <w:p w14:paraId="50AACBC9">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047" w:type="dxa"/>
            <w:vAlign w:val="center"/>
          </w:tcPr>
          <w:p w14:paraId="77DC6CF4">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公开</w:t>
            </w:r>
          </w:p>
          <w:p w14:paraId="0C7F2675">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134" w:type="dxa"/>
            <w:vAlign w:val="center"/>
          </w:tcPr>
          <w:p w14:paraId="5DEA8E75">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邀请</w:t>
            </w:r>
          </w:p>
          <w:p w14:paraId="1B3471C7">
            <w:pPr>
              <w:jc w:val="center"/>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招标</w:t>
            </w:r>
          </w:p>
        </w:tc>
        <w:tc>
          <w:tcPr>
            <w:tcW w:w="1559" w:type="dxa"/>
            <w:vMerge w:val="continue"/>
            <w:vAlign w:val="center"/>
          </w:tcPr>
          <w:p w14:paraId="539918A3">
            <w:pPr>
              <w:jc w:val="center"/>
              <w:rPr>
                <w:rFonts w:ascii="Times New Roman" w:hAnsi="Times New Roman" w:eastAsia="宋体" w:cs="Times New Roman"/>
                <w:b/>
                <w:color w:val="000000" w:themeColor="text1"/>
                <w:sz w:val="24"/>
                <w14:textFill>
                  <w14:solidFill>
                    <w14:schemeClr w14:val="tx1"/>
                  </w14:solidFill>
                </w14:textFill>
              </w:rPr>
            </w:pPr>
          </w:p>
        </w:tc>
      </w:tr>
      <w:tr w14:paraId="7083806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65B9F83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勘察</w:t>
            </w:r>
          </w:p>
        </w:tc>
        <w:tc>
          <w:tcPr>
            <w:tcW w:w="1008" w:type="dxa"/>
            <w:vAlign w:val="center"/>
          </w:tcPr>
          <w:p w14:paraId="459A1E7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2FFBE65F">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02DE15B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281C6E9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4DA0F38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1906BF30">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79C977B8">
            <w:pPr>
              <w:jc w:val="center"/>
              <w:rPr>
                <w:rFonts w:ascii="Times New Roman" w:hAnsi="Times New Roman" w:eastAsia="宋体" w:cs="Times New Roman"/>
                <w:color w:val="000000" w:themeColor="text1"/>
                <w:sz w:val="24"/>
                <w14:textFill>
                  <w14:solidFill>
                    <w14:schemeClr w14:val="tx1"/>
                  </w14:solidFill>
                </w14:textFill>
              </w:rPr>
            </w:pPr>
          </w:p>
        </w:tc>
      </w:tr>
      <w:tr w14:paraId="41E3ED52">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E42255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设计</w:t>
            </w:r>
          </w:p>
        </w:tc>
        <w:tc>
          <w:tcPr>
            <w:tcW w:w="1008" w:type="dxa"/>
            <w:vAlign w:val="center"/>
          </w:tcPr>
          <w:p w14:paraId="28E526C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36E30825">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2ADC374F">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28D86FF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769CCF4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634DDB0D">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517234E">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572BE94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7D591375">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建筑</w:t>
            </w:r>
          </w:p>
          <w:p w14:paraId="59C5342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05A77E22">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2EFBF269">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3A1C6A9">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138ABF8C">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2637FAB6">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0765D47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2ADF7DB2">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53171BA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0C9542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安装</w:t>
            </w:r>
          </w:p>
          <w:p w14:paraId="7C069CF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工程</w:t>
            </w:r>
          </w:p>
        </w:tc>
        <w:tc>
          <w:tcPr>
            <w:tcW w:w="1008" w:type="dxa"/>
            <w:vAlign w:val="center"/>
          </w:tcPr>
          <w:p w14:paraId="22D0C3B1">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3EE1727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5B51A6E9">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07240EE3">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376EF9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3B7D8FB8">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065704E0">
            <w:pPr>
              <w:ind w:firstLine="201" w:firstLineChars="84"/>
              <w:rPr>
                <w:rFonts w:ascii="Times New Roman" w:hAnsi="Times New Roman" w:eastAsia="宋体" w:cs="Times New Roman"/>
                <w:color w:val="000000" w:themeColor="text1"/>
                <w:sz w:val="24"/>
                <w14:textFill>
                  <w14:solidFill>
                    <w14:schemeClr w14:val="tx1"/>
                  </w14:solidFill>
                </w14:textFill>
              </w:rPr>
            </w:pPr>
          </w:p>
        </w:tc>
      </w:tr>
      <w:tr w14:paraId="57C31E2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4F8139E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监理</w:t>
            </w:r>
          </w:p>
        </w:tc>
        <w:tc>
          <w:tcPr>
            <w:tcW w:w="1008" w:type="dxa"/>
            <w:vAlign w:val="center"/>
          </w:tcPr>
          <w:p w14:paraId="4E2B40ED">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2830DD20">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40BE5533">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31E23B39">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ED973A8">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069B444C">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0A7A703">
            <w:pPr>
              <w:jc w:val="center"/>
              <w:rPr>
                <w:rFonts w:ascii="Times New Roman" w:hAnsi="Times New Roman" w:eastAsia="宋体" w:cs="Times New Roman"/>
                <w:color w:val="000000" w:themeColor="text1"/>
                <w:sz w:val="24"/>
                <w14:textFill>
                  <w14:solidFill>
                    <w14:schemeClr w14:val="tx1"/>
                  </w14:solidFill>
                </w14:textFill>
              </w:rPr>
            </w:pPr>
          </w:p>
        </w:tc>
      </w:tr>
      <w:tr w14:paraId="136A03E5">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8944CDF">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设备</w:t>
            </w:r>
          </w:p>
        </w:tc>
        <w:tc>
          <w:tcPr>
            <w:tcW w:w="1008" w:type="dxa"/>
            <w:vAlign w:val="center"/>
          </w:tcPr>
          <w:p w14:paraId="4E8211C7">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0BD9397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51115CD4">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192E179A">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6E76F0A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73B50357">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3B439226">
            <w:pPr>
              <w:jc w:val="center"/>
              <w:rPr>
                <w:rFonts w:ascii="Times New Roman" w:hAnsi="Times New Roman" w:eastAsia="宋体" w:cs="Times New Roman"/>
                <w:color w:val="000000" w:themeColor="text1"/>
                <w:sz w:val="24"/>
                <w14:textFill>
                  <w14:solidFill>
                    <w14:schemeClr w14:val="tx1"/>
                  </w14:solidFill>
                </w14:textFill>
              </w:rPr>
            </w:pPr>
          </w:p>
        </w:tc>
      </w:tr>
      <w:tr w14:paraId="3EE23DDE">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03743C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重要</w:t>
            </w:r>
          </w:p>
          <w:p w14:paraId="2EF57714">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材料</w:t>
            </w:r>
          </w:p>
        </w:tc>
        <w:tc>
          <w:tcPr>
            <w:tcW w:w="1008" w:type="dxa"/>
            <w:vAlign w:val="center"/>
          </w:tcPr>
          <w:p w14:paraId="3C6A977B">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993" w:type="dxa"/>
            <w:vAlign w:val="center"/>
          </w:tcPr>
          <w:p w14:paraId="35594B81">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5E80E7A4">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76FB9DEE">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047" w:type="dxa"/>
            <w:vAlign w:val="center"/>
          </w:tcPr>
          <w:p w14:paraId="18E7E010">
            <w:pPr>
              <w:jc w:val="center"/>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核准</w:t>
            </w:r>
          </w:p>
        </w:tc>
        <w:tc>
          <w:tcPr>
            <w:tcW w:w="1134" w:type="dxa"/>
            <w:vAlign w:val="center"/>
          </w:tcPr>
          <w:p w14:paraId="23D7E85A">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102645AE">
            <w:pPr>
              <w:jc w:val="center"/>
              <w:rPr>
                <w:rFonts w:ascii="Times New Roman" w:hAnsi="Times New Roman" w:eastAsia="宋体" w:cs="Times New Roman"/>
                <w:color w:val="000000" w:themeColor="text1"/>
                <w:sz w:val="24"/>
                <w14:textFill>
                  <w14:solidFill>
                    <w14:schemeClr w14:val="tx1"/>
                  </w14:solidFill>
                </w14:textFill>
              </w:rPr>
            </w:pPr>
          </w:p>
        </w:tc>
      </w:tr>
      <w:tr w14:paraId="6FCF63C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2E127F54">
            <w:pPr>
              <w:jc w:val="center"/>
              <w:rPr>
                <w:rFonts w:ascii="Times New Roman" w:hAnsi="Times New Roman" w:eastAsia="宋体" w:cs="Times New Roman"/>
                <w:color w:val="000000" w:themeColor="text1"/>
                <w:sz w:val="24"/>
                <w14:textFill>
                  <w14:solidFill>
                    <w14:schemeClr w14:val="tx1"/>
                  </w14:solidFill>
                </w14:textFill>
              </w:rPr>
            </w:pPr>
          </w:p>
        </w:tc>
        <w:tc>
          <w:tcPr>
            <w:tcW w:w="1008" w:type="dxa"/>
            <w:vAlign w:val="center"/>
          </w:tcPr>
          <w:p w14:paraId="34375347">
            <w:pPr>
              <w:jc w:val="center"/>
              <w:rPr>
                <w:rFonts w:ascii="Times New Roman" w:hAnsi="Times New Roman" w:eastAsia="宋体" w:cs="Times New Roman"/>
                <w:color w:val="000000" w:themeColor="text1"/>
                <w:sz w:val="24"/>
                <w14:textFill>
                  <w14:solidFill>
                    <w14:schemeClr w14:val="tx1"/>
                  </w14:solidFill>
                </w14:textFill>
              </w:rPr>
            </w:pPr>
          </w:p>
        </w:tc>
        <w:tc>
          <w:tcPr>
            <w:tcW w:w="993" w:type="dxa"/>
            <w:vAlign w:val="center"/>
          </w:tcPr>
          <w:p w14:paraId="0ED02866">
            <w:pPr>
              <w:jc w:val="center"/>
              <w:rPr>
                <w:rFonts w:ascii="Times New Roman" w:hAnsi="Times New Roman" w:eastAsia="宋体" w:cs="Times New Roman"/>
                <w:color w:val="000000" w:themeColor="text1"/>
                <w:sz w:val="24"/>
                <w14:textFill>
                  <w14:solidFill>
                    <w14:schemeClr w14:val="tx1"/>
                  </w14:solidFill>
                </w14:textFill>
              </w:rPr>
            </w:pPr>
          </w:p>
        </w:tc>
        <w:tc>
          <w:tcPr>
            <w:tcW w:w="850" w:type="dxa"/>
            <w:vAlign w:val="center"/>
          </w:tcPr>
          <w:p w14:paraId="3823CAD6">
            <w:pPr>
              <w:jc w:val="center"/>
              <w:rPr>
                <w:rFonts w:ascii="Times New Roman" w:hAnsi="Times New Roman" w:eastAsia="宋体" w:cs="Times New Roman"/>
                <w:color w:val="000000" w:themeColor="text1"/>
                <w:sz w:val="24"/>
                <w14:textFill>
                  <w14:solidFill>
                    <w14:schemeClr w14:val="tx1"/>
                  </w14:solidFill>
                </w14:textFill>
              </w:rPr>
            </w:pPr>
          </w:p>
        </w:tc>
        <w:tc>
          <w:tcPr>
            <w:tcW w:w="938" w:type="dxa"/>
            <w:vAlign w:val="center"/>
          </w:tcPr>
          <w:p w14:paraId="1575CDD6">
            <w:pPr>
              <w:jc w:val="center"/>
              <w:rPr>
                <w:rFonts w:ascii="Times New Roman" w:hAnsi="Times New Roman" w:eastAsia="宋体" w:cs="Times New Roman"/>
                <w:color w:val="000000" w:themeColor="text1"/>
                <w:sz w:val="24"/>
                <w14:textFill>
                  <w14:solidFill>
                    <w14:schemeClr w14:val="tx1"/>
                  </w14:solidFill>
                </w14:textFill>
              </w:rPr>
            </w:pPr>
          </w:p>
        </w:tc>
        <w:tc>
          <w:tcPr>
            <w:tcW w:w="1047" w:type="dxa"/>
            <w:vAlign w:val="center"/>
          </w:tcPr>
          <w:p w14:paraId="4E072C1E">
            <w:pPr>
              <w:jc w:val="center"/>
              <w:rPr>
                <w:rFonts w:ascii="Times New Roman" w:hAnsi="Times New Roman" w:eastAsia="宋体" w:cs="Times New Roman"/>
                <w:color w:val="000000" w:themeColor="text1"/>
                <w:sz w:val="24"/>
                <w14:textFill>
                  <w14:solidFill>
                    <w14:schemeClr w14:val="tx1"/>
                  </w14:solidFill>
                </w14:textFill>
              </w:rPr>
            </w:pPr>
          </w:p>
        </w:tc>
        <w:tc>
          <w:tcPr>
            <w:tcW w:w="1134" w:type="dxa"/>
            <w:vAlign w:val="center"/>
          </w:tcPr>
          <w:p w14:paraId="4AEF0646">
            <w:pPr>
              <w:jc w:val="center"/>
              <w:rPr>
                <w:rFonts w:ascii="Times New Roman" w:hAnsi="Times New Roman" w:eastAsia="宋体" w:cs="Times New Roman"/>
                <w:color w:val="000000" w:themeColor="text1"/>
                <w:sz w:val="24"/>
                <w14:textFill>
                  <w14:solidFill>
                    <w14:schemeClr w14:val="tx1"/>
                  </w14:solidFill>
                </w14:textFill>
              </w:rPr>
            </w:pPr>
          </w:p>
        </w:tc>
        <w:tc>
          <w:tcPr>
            <w:tcW w:w="1559" w:type="dxa"/>
            <w:vAlign w:val="center"/>
          </w:tcPr>
          <w:p w14:paraId="41E593D4">
            <w:pPr>
              <w:jc w:val="center"/>
              <w:rPr>
                <w:rFonts w:ascii="Times New Roman" w:hAnsi="Times New Roman" w:eastAsia="宋体" w:cs="Times New Roman"/>
                <w:color w:val="000000" w:themeColor="text1"/>
                <w:sz w:val="24"/>
                <w14:textFill>
                  <w14:solidFill>
                    <w14:schemeClr w14:val="tx1"/>
                  </w14:solidFill>
                </w14:textFill>
              </w:rPr>
            </w:pPr>
          </w:p>
        </w:tc>
      </w:tr>
      <w:tr w14:paraId="208B5C3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25" w:hRule="atLeast"/>
        </w:trPr>
        <w:tc>
          <w:tcPr>
            <w:tcW w:w="8897" w:type="dxa"/>
            <w:gridSpan w:val="8"/>
          </w:tcPr>
          <w:p w14:paraId="22A2255C">
            <w:pPr>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审批部门核准意见说明：</w:t>
            </w:r>
          </w:p>
          <w:p w14:paraId="5408AB22">
            <w:pPr>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根据请严格执行《中华人民共和国招标投标法》《必须招标的工程项目规定》（中华人民共和国国家发展和改革委员会令第16号）、《广西壮族自治区财政厅关于调整广西政府采购项目公开招标数额和分散采购限额标准的通知》（桂财采〔2021〕61号）等国家及自治区有关招标投标的规定及项目业主申请意见核定本工程招标具体方案</w:t>
            </w:r>
            <w:r>
              <w:rPr>
                <w:rFonts w:hint="eastAsia" w:ascii="Times New Roman" w:hAnsi="Times New Roman" w:eastAsia="宋体" w:cs="Times New Roman"/>
                <w:color w:val="000000" w:themeColor="text1"/>
                <w14:textFill>
                  <w14:solidFill>
                    <w14:schemeClr w14:val="tx1"/>
                  </w14:solidFill>
                </w14:textFill>
              </w:rPr>
              <w:t>。</w:t>
            </w:r>
          </w:p>
          <w:p w14:paraId="6B7CAF42">
            <w:pPr>
              <w:rPr>
                <w:rFonts w:ascii="Times New Roman" w:hAnsi="Times New Roman" w:eastAsia="宋体" w:cs="Times New Roman"/>
                <w:color w:val="000000" w:themeColor="text1"/>
                <w:sz w:val="24"/>
                <w14:textFill>
                  <w14:solidFill>
                    <w14:schemeClr w14:val="tx1"/>
                  </w14:solidFill>
                </w14:textFill>
              </w:rPr>
            </w:pPr>
          </w:p>
          <w:p w14:paraId="5513B83D">
            <w:pPr>
              <w:ind w:left="5880" w:leftChars="2800"/>
              <w:rPr>
                <w:rFonts w:ascii="Times New Roman" w:hAnsi="Times New Roman" w:eastAsia="宋体" w:cs="Times New Roman"/>
                <w:color w:val="000000" w:themeColor="text1"/>
                <w:sz w:val="24"/>
                <w14:textFill>
                  <w14:solidFill>
                    <w14:schemeClr w14:val="tx1"/>
                  </w14:solidFill>
                </w14:textFill>
              </w:rPr>
            </w:pPr>
          </w:p>
          <w:p w14:paraId="0172D788">
            <w:pPr>
              <w:jc w:val="center"/>
              <w:rPr>
                <w:rFonts w:ascii="Times New Roman" w:hAnsi="Times New Roman" w:eastAsia="宋体" w:cs="Times New Roman"/>
                <w:color w:val="000000" w:themeColor="text1"/>
                <w:sz w:val="24"/>
                <w14:textFill>
                  <w14:solidFill>
                    <w14:schemeClr w14:val="tx1"/>
                  </w14:solidFill>
                </w14:textFill>
              </w:rPr>
            </w:pPr>
          </w:p>
          <w:p w14:paraId="30CC9CE3">
            <w:pPr>
              <w:widowControl w:val="0"/>
              <w:autoSpaceDE w:val="0"/>
              <w:autoSpaceDN w:val="0"/>
              <w:adjustRightInd w:val="0"/>
              <w:spacing w:line="580" w:lineRule="exact"/>
              <w:ind w:firstLine="6000" w:firstLineChars="2500"/>
              <w:jc w:val="both"/>
              <w:rPr>
                <w:rFonts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2025年12月26日</w:t>
            </w:r>
          </w:p>
          <w:p w14:paraId="0368B2B2">
            <w:pPr>
              <w:jc w:val="center"/>
              <w:rPr>
                <w:rFonts w:ascii="Times New Roman" w:hAnsi="Times New Roman" w:eastAsia="宋体" w:cs="Times New Roman"/>
                <w:color w:val="000000" w:themeColor="text1"/>
                <w:sz w:val="24"/>
                <w14:textFill>
                  <w14:solidFill>
                    <w14:schemeClr w14:val="tx1"/>
                  </w14:solidFill>
                </w14:textFill>
              </w:rPr>
            </w:pPr>
          </w:p>
          <w:p w14:paraId="2B5BF4DF">
            <w:pPr>
              <w:jc w:val="center"/>
              <w:rPr>
                <w:rFonts w:ascii="Times New Roman" w:hAnsi="Times New Roman" w:eastAsia="宋体" w:cs="Times New Roman"/>
                <w:color w:val="000000" w:themeColor="text1"/>
                <w:sz w:val="24"/>
                <w14:textFill>
                  <w14:solidFill>
                    <w14:schemeClr w14:val="tx1"/>
                  </w14:solidFill>
                </w14:textFill>
              </w:rPr>
            </w:pPr>
          </w:p>
          <w:p w14:paraId="4DE5876F">
            <w:pPr>
              <w:jc w:val="center"/>
              <w:rPr>
                <w:rFonts w:ascii="Times New Roman" w:hAnsi="Times New Roman" w:eastAsia="宋体" w:cs="Times New Roman"/>
                <w:color w:val="000000" w:themeColor="text1"/>
                <w:sz w:val="24"/>
                <w14:textFill>
                  <w14:solidFill>
                    <w14:schemeClr w14:val="tx1"/>
                  </w14:solidFill>
                </w14:textFill>
              </w:rPr>
            </w:pPr>
          </w:p>
          <w:p w14:paraId="3D340D69">
            <w:pPr>
              <w:rPr>
                <w:rFonts w:ascii="Times New Roman" w:hAnsi="Times New Roman" w:eastAsia="宋体" w:cs="Times New Roman"/>
                <w:color w:val="000000" w:themeColor="text1"/>
                <w:sz w:val="24"/>
                <w14:textFill>
                  <w14:solidFill>
                    <w14:schemeClr w14:val="tx1"/>
                  </w14:solidFill>
                </w14:textFill>
              </w:rPr>
            </w:pPr>
          </w:p>
          <w:p w14:paraId="3C4359F3">
            <w:pPr>
              <w:rPr>
                <w:rFonts w:ascii="Times New Roman" w:hAnsi="Times New Roman" w:eastAsia="宋体" w:cs="Times New Roman"/>
                <w:color w:val="000000" w:themeColor="text1"/>
                <w:sz w:val="24"/>
                <w14:textFill>
                  <w14:solidFill>
                    <w14:schemeClr w14:val="tx1"/>
                  </w14:solidFill>
                </w14:textFill>
              </w:rPr>
            </w:pPr>
          </w:p>
        </w:tc>
      </w:tr>
    </w:tbl>
    <w:p w14:paraId="5AEE2D53">
      <w:pPr>
        <w:rPr>
          <w:rFonts w:hint="eastAsia" w:ascii="仿宋" w:hAnsi="仿宋" w:eastAsia="仿宋" w:cs="仿宋"/>
          <w:sz w:val="32"/>
          <w:szCs w:val="32"/>
        </w:rPr>
        <w:sectPr>
          <w:headerReference r:id="rId3" w:type="default"/>
          <w:footerReference r:id="rId4"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6DCFCBAF">
      <w:pPr>
        <w:rPr>
          <w:rFonts w:hint="eastAsia" w:ascii="仿宋" w:hAnsi="仿宋" w:eastAsia="仿宋" w:cs="仿宋"/>
          <w:sz w:val="32"/>
          <w:szCs w:val="32"/>
        </w:rPr>
        <w:sectPr>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p>
    <w:p w14:paraId="53840DD5">
      <w:pPr>
        <w:spacing w:line="600" w:lineRule="exact"/>
        <w:rPr>
          <w:rFonts w:ascii="宋体" w:hAnsi="宋体" w:eastAsia="宋体" w:cs="仿宋_GB2312"/>
          <w:color w:val="000000" w:themeColor="text1"/>
          <w:sz w:val="28"/>
          <w:szCs w:val="28"/>
          <w14:textFill>
            <w14:solidFill>
              <w14:schemeClr w14:val="tx1"/>
            </w14:solidFill>
          </w14:textFill>
        </w:rPr>
      </w:pPr>
      <w:r>
        <w:rPr>
          <w:rFonts w:hint="eastAsia" w:ascii="宋体" w:hAnsi="宋体" w:eastAsia="宋体" w:cs="仿宋_GB2312"/>
          <w:color w:val="000000" w:themeColor="text1"/>
          <w:sz w:val="28"/>
          <w:szCs w:val="28"/>
          <w14:textFill>
            <w14:solidFill>
              <w14:schemeClr w14:val="tx1"/>
            </w14:solidFill>
          </w14:textFill>
        </w:rPr>
        <w:t>附件2</w:t>
      </w:r>
    </w:p>
    <w:p w14:paraId="0B422C69">
      <w:pPr>
        <w:spacing w:line="600" w:lineRule="exact"/>
        <w:rPr>
          <w:rFonts w:ascii="黑体" w:hAnsi="黑体" w:eastAsia="黑体" w:cs="仿宋_GB2312"/>
          <w:color w:val="000000" w:themeColor="text1"/>
          <w14:textFill>
            <w14:solidFill>
              <w14:schemeClr w14:val="tx1"/>
            </w14:solidFill>
          </w14:textFill>
        </w:rPr>
      </w:pPr>
    </w:p>
    <w:p w14:paraId="3464828D">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电力项目安全管理和质量管控事项告知书</w:t>
      </w:r>
    </w:p>
    <w:p w14:paraId="7A98C91C">
      <w:pPr>
        <w:spacing w:line="600" w:lineRule="exact"/>
        <w:rPr>
          <w:rFonts w:ascii="仿宋_GB2312" w:hAnsi="仿宋_GB2312" w:eastAsia="仿宋_GB2312" w:cs="仿宋_GB2312"/>
          <w:snapToGrid w:val="0"/>
          <w:color w:val="000000" w:themeColor="text1"/>
          <w:kern w:val="0"/>
          <w:sz w:val="32"/>
          <w:szCs w:val="32"/>
          <w14:textFill>
            <w14:solidFill>
              <w14:schemeClr w14:val="tx1"/>
            </w14:solidFill>
          </w14:textFill>
        </w:rPr>
      </w:pPr>
    </w:p>
    <w:p w14:paraId="47623CD2">
      <w:pPr>
        <w:ind w:firstLine="480" w:firstLineChars="1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为了进一步加强电力项目的安全管理,有效防范安全生产和质量事故,现就</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施工安全和质量管控应重点注意的事项告知如下。</w:t>
      </w:r>
    </w:p>
    <w:p w14:paraId="41AE8A7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3687609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二、应当按要求设置项目安全生产管理机构,配备安全生产管理人员。</w:t>
      </w:r>
    </w:p>
    <w:p w14:paraId="6A83471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三、应当开展安全生产教育培训。</w:t>
      </w:r>
    </w:p>
    <w:p w14:paraId="17B4C04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四、应当严格落实安全生产投入。</w:t>
      </w:r>
    </w:p>
    <w:p w14:paraId="548A859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五、应当按要求建立工程分包管控制度和措施,禁止施工单位转包或违法分包工程。</w:t>
      </w:r>
    </w:p>
    <w:p w14:paraId="502AE4F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六、应当组织开展安全风险管控和隐患排查治理工作。</w:t>
      </w:r>
    </w:p>
    <w:p w14:paraId="44264CF5">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sectPr>
          <w:footerReference r:id="rId5"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color w:val="000000" w:themeColor="text1"/>
          <w:sz w:val="32"/>
          <w:szCs w:val="32"/>
          <w14:textFill>
            <w14:solidFill>
              <w14:schemeClr w14:val="tx1"/>
            </w14:solidFill>
          </w14:textFill>
        </w:rPr>
        <w:t>七、应当严格落实应急管理及事故处置措施,及时如实报告</w:t>
      </w:r>
    </w:p>
    <w:p w14:paraId="12F210B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生产安全事故。</w:t>
      </w:r>
    </w:p>
    <w:p w14:paraId="3465D53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color w:val="000000" w:themeColor="text1"/>
          <w:kern w:val="0"/>
          <w:sz w:val="32"/>
          <w:szCs w:val="32"/>
          <w14:textFill>
            <w14:solidFill>
              <w14:schemeClr w14:val="tx1"/>
            </w14:solidFill>
          </w14:textFill>
        </w:rPr>
        <w:t>〔2020〕</w:t>
      </w:r>
      <w:r>
        <w:rPr>
          <w:rFonts w:hint="eastAsia" w:ascii="仿宋_GB2312" w:hAnsi="仿宋_GB2312" w:eastAsia="仿宋_GB2312" w:cs="仿宋_GB2312"/>
          <w:color w:val="000000" w:themeColor="text1"/>
          <w:sz w:val="32"/>
          <w:szCs w:val="32"/>
          <w14:textFill>
            <w14:solidFill>
              <w14:schemeClr w14:val="tx1"/>
            </w14:solidFill>
          </w14:textFill>
        </w:rPr>
        <w:t>39号)等有关文件的规定和要求,开工前必须办理工程质量监督注册手续,并做好工程质量管控各项工作。</w:t>
      </w:r>
    </w:p>
    <w:p w14:paraId="2216B07B">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若发生违反上述事项的行为,有关部门将依照相关法律、法规和政策规定进行处罚,并将处罚信息纳入被处罚单位的信用记录。</w:t>
      </w:r>
    </w:p>
    <w:p w14:paraId="60EE9472">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681DAE4F">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14:paraId="0D4D38FF">
      <w:pPr>
        <w:rPr>
          <w:rFonts w:ascii="仿宋_GB2312" w:hAnsi="Times New Roman" w:eastAsia="仿宋_GB2312" w:cs="Times New Roman"/>
          <w:color w:val="000000" w:themeColor="text1"/>
          <w:sz w:val="32"/>
          <w:szCs w:val="32"/>
          <w14:textFill>
            <w14:solidFill>
              <w14:schemeClr w14:val="tx1"/>
            </w14:solidFill>
          </w14:textFill>
        </w:rPr>
      </w:pPr>
    </w:p>
    <w:p w14:paraId="6A7E3851">
      <w:pPr>
        <w:spacing w:line="60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告知人:玉林市发展和改革委员会</w:t>
      </w:r>
    </w:p>
    <w:p w14:paraId="3A562EE1">
      <w:pPr>
        <w:spacing w:line="600" w:lineRule="exact"/>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被告知单位:</w:t>
      </w:r>
      <w:r>
        <w:rPr>
          <w:rFonts w:ascii="仿宋_GB2312" w:hAnsi="宋体" w:eastAsia="仿宋_GB2312" w:cs="仿宋_GB2312"/>
          <w:color w:val="000000"/>
          <w:kern w:val="0"/>
          <w:sz w:val="31"/>
          <w:szCs w:val="31"/>
          <w:lang w:val="en-US" w:eastAsia="zh-CN" w:bidi="ar"/>
        </w:rPr>
        <w:t>广西新电力投资集团有限责任公司博白供电局</w:t>
      </w:r>
    </w:p>
    <w:p w14:paraId="2C090D77">
      <w:pPr>
        <w:spacing w:line="600" w:lineRule="exact"/>
        <w:ind w:firstLine="4899" w:firstLineChars="1531"/>
        <w:rPr>
          <w:rFonts w:ascii="宋体" w:hAnsi="宋体" w:eastAsia="宋体" w:cs="Times New Roman"/>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2025年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D50F750">
      <w:pPr>
        <w:rPr>
          <w:rFonts w:ascii="宋体" w:hAnsi="宋体" w:eastAsia="宋体" w:cs="Times New Roman"/>
          <w:sz w:val="24"/>
        </w:rPr>
      </w:pPr>
    </w:p>
    <w:p w14:paraId="3E3B6189">
      <w:pPr>
        <w:spacing w:line="600" w:lineRule="exact"/>
        <w:ind w:firstLine="4579" w:firstLineChars="1431"/>
        <w:rPr>
          <w:rFonts w:hint="eastAsia" w:ascii="仿宋_GB2312" w:hAnsi="仿宋_GB2312" w:eastAsia="仿宋_GB2312" w:cs="仿宋_GB2312"/>
          <w:sz w:val="32"/>
          <w:szCs w:val="32"/>
        </w:rPr>
      </w:pPr>
    </w:p>
    <w:p w14:paraId="6C78AEE0">
      <w:pPr>
        <w:rPr>
          <w:rFonts w:hint="eastAsia" w:ascii="仿宋" w:hAnsi="仿宋" w:eastAsia="仿宋" w:cs="仿宋"/>
          <w:sz w:val="32"/>
          <w:szCs w:val="32"/>
        </w:rPr>
      </w:pPr>
    </w:p>
    <w:p w14:paraId="42DD6B74">
      <w:pPr>
        <w:spacing w:line="600" w:lineRule="exact"/>
        <w:ind w:firstLine="4579" w:firstLineChars="1431"/>
        <w:rPr>
          <w:rFonts w:hint="eastAsia" w:ascii="仿宋_GB2312" w:hAnsi="仿宋_GB2312" w:eastAsia="仿宋_GB2312" w:cs="仿宋_GB2312"/>
          <w:sz w:val="32"/>
          <w:szCs w:val="32"/>
        </w:rPr>
      </w:pPr>
    </w:p>
    <w:p w14:paraId="4763FB91">
      <w:pPr>
        <w:rPr>
          <w:rFonts w:hint="eastAsia" w:ascii="仿宋" w:hAnsi="仿宋" w:eastAsia="仿宋" w:cs="仿宋"/>
          <w:sz w:val="32"/>
          <w:szCs w:val="32"/>
        </w:rPr>
      </w:pPr>
    </w:p>
    <w:p w14:paraId="5268F88D">
      <w:pPr>
        <w:rPr>
          <w:rFonts w:hint="eastAsia" w:ascii="宋体" w:hAnsi="宋体" w:eastAsia="宋体"/>
          <w:sz w:val="24"/>
          <w:lang w:eastAsia="zh-CN"/>
        </w:rPr>
      </w:pPr>
    </w:p>
    <w:sectPr>
      <w:footerReference r:id="rId6" w:type="default"/>
      <w:pgSz w:w="11906" w:h="16838"/>
      <w:pgMar w:top="1701" w:right="1474" w:bottom="1134" w:left="1587" w:header="850"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18C9">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9823FF">
                    <w:pPr>
                      <w:pStyle w:val="9"/>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10</w:t>
                    </w:r>
                    <w:r>
                      <w:rPr>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3FF9">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79D2C6">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C79D2C6">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67E0">
    <w:pPr>
      <w:widowControl w:val="0"/>
      <w:snapToGrid w:val="0"/>
      <w:ind w:right="360"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E30D58">
                    <w:pPr>
                      <w:widowControl w:val="0"/>
                      <w:snapToGrid w:val="0"/>
                      <w:jc w:val="left"/>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sz w:val="32"/>
                        <w:szCs w:val="32"/>
                        <w:lang w:val="en-US" w:eastAsia="zh-CN" w:bidi="ar-SA"/>
                      </w:rPr>
                      <w:fldChar w:fldCharType="begin"/>
                    </w:r>
                    <w:r>
                      <w:rPr>
                        <w:rFonts w:ascii="Times New Roman" w:hAnsi="Times New Roman" w:eastAsia="宋体" w:cs="Times New Roman"/>
                        <w:kern w:val="2"/>
                        <w:sz w:val="32"/>
                        <w:szCs w:val="32"/>
                        <w:lang w:val="en-US" w:eastAsia="zh-CN" w:bidi="ar-SA"/>
                      </w:rPr>
                      <w:instrText xml:space="preserve"> PAGE  \* MERGEFORMAT </w:instrText>
                    </w:r>
                    <w:r>
                      <w:rPr>
                        <w:rFonts w:ascii="Times New Roman" w:hAnsi="Times New Roman" w:eastAsia="宋体" w:cs="Times New Roman"/>
                        <w:kern w:val="2"/>
                        <w:sz w:val="32"/>
                        <w:szCs w:val="32"/>
                        <w:lang w:val="en-US" w:eastAsia="zh-CN" w:bidi="ar-SA"/>
                      </w:rPr>
                      <w:fldChar w:fldCharType="separate"/>
                    </w:r>
                    <w:r>
                      <w:rPr>
                        <w:rFonts w:ascii="Times New Roman" w:hAnsi="Times New Roman" w:eastAsia="宋体" w:cs="Times New Roman"/>
                        <w:kern w:val="2"/>
                        <w:sz w:val="32"/>
                        <w:szCs w:val="32"/>
                        <w:lang w:val="en-US" w:eastAsia="zh-CN" w:bidi="ar-SA"/>
                      </w:rPr>
                      <w:t>9</w:t>
                    </w:r>
                    <w:r>
                      <w:rPr>
                        <w:rFonts w:ascii="Times New Roman" w:hAnsi="Times New Roman" w:eastAsia="宋体" w:cs="Times New Roman"/>
                        <w:kern w:val="2"/>
                        <w:sz w:val="32"/>
                        <w:szCs w:val="32"/>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0"/>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FB041A"/>
    <w:rsid w:val="020A2568"/>
    <w:rsid w:val="021C52B0"/>
    <w:rsid w:val="029B227C"/>
    <w:rsid w:val="03E46820"/>
    <w:rsid w:val="06FD4180"/>
    <w:rsid w:val="08000695"/>
    <w:rsid w:val="09575B61"/>
    <w:rsid w:val="096E718E"/>
    <w:rsid w:val="0AC0648A"/>
    <w:rsid w:val="0EC26A83"/>
    <w:rsid w:val="10266135"/>
    <w:rsid w:val="122D1EA5"/>
    <w:rsid w:val="13094DDF"/>
    <w:rsid w:val="15193333"/>
    <w:rsid w:val="15E433A4"/>
    <w:rsid w:val="1683496B"/>
    <w:rsid w:val="16CB00C0"/>
    <w:rsid w:val="180F3C35"/>
    <w:rsid w:val="1B544B28"/>
    <w:rsid w:val="1BA95D0D"/>
    <w:rsid w:val="1EAE09F3"/>
    <w:rsid w:val="1FAD4BCF"/>
    <w:rsid w:val="2217065D"/>
    <w:rsid w:val="23CF4924"/>
    <w:rsid w:val="240B230C"/>
    <w:rsid w:val="2548374E"/>
    <w:rsid w:val="26393298"/>
    <w:rsid w:val="2680013C"/>
    <w:rsid w:val="297D349C"/>
    <w:rsid w:val="29BB2216"/>
    <w:rsid w:val="2B051FCE"/>
    <w:rsid w:val="2D102879"/>
    <w:rsid w:val="2E8224E6"/>
    <w:rsid w:val="31BE21B5"/>
    <w:rsid w:val="31CC64FB"/>
    <w:rsid w:val="326E42CA"/>
    <w:rsid w:val="33226E62"/>
    <w:rsid w:val="36266C69"/>
    <w:rsid w:val="383A69FC"/>
    <w:rsid w:val="38410E10"/>
    <w:rsid w:val="391A2715"/>
    <w:rsid w:val="3A06303A"/>
    <w:rsid w:val="3AF77A81"/>
    <w:rsid w:val="40A14E3D"/>
    <w:rsid w:val="42F75C15"/>
    <w:rsid w:val="44AC1FC9"/>
    <w:rsid w:val="489D100D"/>
    <w:rsid w:val="4AFC47FD"/>
    <w:rsid w:val="4C126797"/>
    <w:rsid w:val="50F25C6E"/>
    <w:rsid w:val="53F405BE"/>
    <w:rsid w:val="55A60148"/>
    <w:rsid w:val="565C5527"/>
    <w:rsid w:val="5664316A"/>
    <w:rsid w:val="583A23D4"/>
    <w:rsid w:val="58FE1654"/>
    <w:rsid w:val="596B480F"/>
    <w:rsid w:val="59CA3EB2"/>
    <w:rsid w:val="5A3D1059"/>
    <w:rsid w:val="60D00657"/>
    <w:rsid w:val="639D7CBB"/>
    <w:rsid w:val="63E961A8"/>
    <w:rsid w:val="684C450D"/>
    <w:rsid w:val="69197DE4"/>
    <w:rsid w:val="6B9D470F"/>
    <w:rsid w:val="701D1D1F"/>
    <w:rsid w:val="70C1323B"/>
    <w:rsid w:val="71C60738"/>
    <w:rsid w:val="73AE2A7E"/>
    <w:rsid w:val="741639DC"/>
    <w:rsid w:val="74537B4E"/>
    <w:rsid w:val="745B5755"/>
    <w:rsid w:val="75BF1D13"/>
    <w:rsid w:val="769B0AEB"/>
    <w:rsid w:val="76B11931"/>
    <w:rsid w:val="77AF74EA"/>
    <w:rsid w:val="78AB7B6D"/>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ody Text"/>
    <w:basedOn w:val="1"/>
    <w:next w:val="5"/>
    <w:link w:val="20"/>
    <w:qFormat/>
    <w:uiPriority w:val="0"/>
    <w:pPr>
      <w:spacing w:after="120"/>
    </w:pPr>
  </w:style>
  <w:style w:type="paragraph" w:styleId="5">
    <w:name w:val="Title"/>
    <w:basedOn w:val="2"/>
    <w:next w:val="1"/>
    <w:link w:val="24"/>
    <w:qFormat/>
    <w:uiPriority w:val="0"/>
    <w:pPr>
      <w:widowControl/>
      <w:spacing w:before="0" w:after="0" w:line="640" w:lineRule="exact"/>
      <w:jc w:val="center"/>
    </w:pPr>
    <w:rPr>
      <w:rFonts w:eastAsia="方正小标宋_GBK"/>
      <w:bCs w:val="0"/>
      <w:sz w:val="36"/>
      <w:szCs w:val="32"/>
    </w:rPr>
  </w:style>
  <w:style w:type="paragraph" w:styleId="6">
    <w:name w:val="Body Text Indent"/>
    <w:basedOn w:val="1"/>
    <w:link w:val="2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2"/>
    <w:qFormat/>
    <w:uiPriority w:val="0"/>
    <w:pPr>
      <w:ind w:left="100" w:leftChars="2500"/>
    </w:p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0"/>
    <w:pPr>
      <w:tabs>
        <w:tab w:val="right" w:leader="dot" w:pos="8400"/>
      </w:tabs>
      <w:spacing w:line="480" w:lineRule="exact"/>
      <w:ind w:left="42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qFormat/>
    <w:uiPriority w:val="0"/>
    <w:pPr>
      <w:widowControl/>
      <w:overflowPunct w:val="0"/>
      <w:autoSpaceDE w:val="0"/>
      <w:autoSpaceDN w:val="0"/>
      <w:adjustRightInd w:val="0"/>
      <w:spacing w:after="120" w:afterLines="0" w:afterAutospacing="0"/>
      <w:ind w:firstLine="420"/>
      <w:jc w:val="left"/>
      <w:textAlignment w:val="baseline"/>
    </w:pPr>
    <w:rPr>
      <w:rFonts w:ascii="Times New Roman" w:hAnsi="Times New Roman" w:eastAsia="宋体" w:cs="Times New Roman"/>
      <w:kern w:val="2"/>
      <w:sz w:val="21"/>
      <w:szCs w:val="22"/>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rFonts w:cs="Times New Roman"/>
      <w:color w:val="0000FF"/>
      <w:u w:val="single"/>
    </w:rPr>
  </w:style>
  <w:style w:type="paragraph" w:customStyle="1" w:styleId="19">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20">
    <w:name w:val="正文文本 Char"/>
    <w:basedOn w:val="16"/>
    <w:link w:val="4"/>
    <w:qFormat/>
    <w:uiPriority w:val="0"/>
    <w:rPr>
      <w:kern w:val="2"/>
      <w:sz w:val="21"/>
      <w:szCs w:val="24"/>
    </w:rPr>
  </w:style>
  <w:style w:type="character" w:customStyle="1" w:styleId="21">
    <w:name w:val="正文文本缩进 Char"/>
    <w:basedOn w:val="16"/>
    <w:link w:val="6"/>
    <w:qFormat/>
    <w:uiPriority w:val="0"/>
    <w:rPr>
      <w:kern w:val="2"/>
      <w:sz w:val="21"/>
      <w:szCs w:val="24"/>
    </w:rPr>
  </w:style>
  <w:style w:type="character" w:customStyle="1" w:styleId="22">
    <w:name w:val="日期 Char"/>
    <w:basedOn w:val="16"/>
    <w:link w:val="8"/>
    <w:qFormat/>
    <w:uiPriority w:val="0"/>
    <w:rPr>
      <w:kern w:val="2"/>
      <w:sz w:val="21"/>
      <w:szCs w:val="24"/>
    </w:rPr>
  </w:style>
  <w:style w:type="character" w:customStyle="1" w:styleId="23">
    <w:name w:val="页脚 Char"/>
    <w:basedOn w:val="16"/>
    <w:link w:val="9"/>
    <w:qFormat/>
    <w:locked/>
    <w:uiPriority w:val="0"/>
    <w:rPr>
      <w:rFonts w:eastAsia="宋体"/>
      <w:kern w:val="2"/>
      <w:sz w:val="18"/>
      <w:szCs w:val="18"/>
      <w:lang w:val="en-US" w:eastAsia="zh-CN" w:bidi="ar-SA"/>
    </w:rPr>
  </w:style>
  <w:style w:type="character" w:customStyle="1" w:styleId="24">
    <w:name w:val="标题 Char1"/>
    <w:link w:val="5"/>
    <w:qFormat/>
    <w:uiPriority w:val="0"/>
    <w:rPr>
      <w:rFonts w:eastAsia="方正小标宋_GBK"/>
      <w:b/>
      <w:kern w:val="44"/>
      <w:sz w:val="36"/>
      <w:szCs w:val="32"/>
      <w:lang w:bidi="ar-SA"/>
    </w:rPr>
  </w:style>
  <w:style w:type="paragraph" w:customStyle="1" w:styleId="25">
    <w:name w:val="主送"/>
    <w:basedOn w:val="3"/>
    <w:next w:val="1"/>
    <w:qFormat/>
    <w:uiPriority w:val="0"/>
    <w:pPr>
      <w:widowControl/>
      <w:spacing w:line="600" w:lineRule="exact"/>
      <w:jc w:val="left"/>
    </w:pPr>
    <w:rPr>
      <w:rFonts w:ascii="Calibri" w:hAnsi="Calibri"/>
      <w:kern w:val="0"/>
      <w:sz w:val="20"/>
    </w:rPr>
  </w:style>
  <w:style w:type="character" w:customStyle="1" w:styleId="26">
    <w:name w:val="Char Char1"/>
    <w:qFormat/>
    <w:uiPriority w:val="0"/>
    <w:rPr>
      <w:rFonts w:eastAsia="方正小标宋_GBK"/>
      <w:b/>
      <w:kern w:val="44"/>
      <w:sz w:val="36"/>
      <w:szCs w:val="32"/>
      <w:lang w:bidi="ar-SA"/>
    </w:rPr>
  </w:style>
  <w:style w:type="character" w:customStyle="1" w:styleId="27">
    <w:name w:val="Char Char5"/>
    <w:qFormat/>
    <w:uiPriority w:val="0"/>
    <w:rPr>
      <w:rFonts w:ascii="Times New Roman" w:hAnsi="Times New Roman" w:eastAsia="方正小标宋_GBK" w:cs="Times New Roman"/>
      <w:b/>
      <w:kern w:val="44"/>
      <w:sz w:val="36"/>
      <w:szCs w:val="32"/>
    </w:rPr>
  </w:style>
  <w:style w:type="paragraph" w:customStyle="1" w:styleId="28">
    <w:name w:val="_Style 27"/>
    <w:basedOn w:val="1"/>
    <w:qFormat/>
    <w:uiPriority w:val="0"/>
    <w:rPr>
      <w:sz w:val="28"/>
      <w:szCs w:val="28"/>
    </w:rPr>
  </w:style>
  <w:style w:type="character" w:customStyle="1" w:styleId="29">
    <w:name w:val="Char Char"/>
    <w:qFormat/>
    <w:locked/>
    <w:uiPriority w:val="0"/>
    <w:rPr>
      <w:rFonts w:ascii="方正小标宋_GBK" w:eastAsia="方正小标宋_GBK"/>
      <w:b/>
      <w:kern w:val="44"/>
      <w:sz w:val="36"/>
      <w:szCs w:val="32"/>
      <w:lang w:bidi="ar-SA"/>
    </w:rPr>
  </w:style>
  <w:style w:type="character" w:customStyle="1" w:styleId="30">
    <w:name w:val="标题 Char"/>
    <w:qFormat/>
    <w:locked/>
    <w:uiPriority w:val="0"/>
    <w:rPr>
      <w:rFonts w:ascii="方正小标宋_GBK" w:eastAsia="方正小标宋_GBK"/>
      <w:b/>
      <w:kern w:val="44"/>
      <w:sz w:val="36"/>
      <w:szCs w:val="32"/>
      <w:lang w:bidi="ar-SA"/>
    </w:rPr>
  </w:style>
  <w:style w:type="paragraph" w:customStyle="1" w:styleId="31">
    <w:name w:val="样式 标题 3 Char + 四号2"/>
    <w:basedOn w:val="1"/>
    <w:qFormat/>
    <w:uiPriority w:val="99"/>
    <w:pPr>
      <w:keepNext/>
      <w:keepLines/>
      <w:spacing w:line="360" w:lineRule="auto"/>
    </w:pPr>
    <w:rPr>
      <w:rFonts w:cs="宋体"/>
      <w:b/>
      <w:sz w:val="28"/>
      <w:szCs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3">
    <w:name w:val="NormalCharacter"/>
    <w:qFormat/>
    <w:uiPriority w:val="99"/>
    <w:rPr>
      <w:rFonts w:ascii="Times New Roman" w:hAnsi="Times New Roman" w:eastAsia="宋体"/>
    </w:rPr>
  </w:style>
  <w:style w:type="paragraph" w:customStyle="1" w:styleId="34">
    <w:name w:val="p0"/>
    <w:qFormat/>
    <w:uiPriority w:val="0"/>
    <w:pPr>
      <w:widowControl/>
      <w:jc w:val="both"/>
    </w:pPr>
    <w:rPr>
      <w:rFonts w:ascii="Times New Roman" w:hAnsi="Times New Roman" w:eastAsia="宋体" w:cs="Times New Roman"/>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8</Pages>
  <Words>2713</Words>
  <Characters>2930</Characters>
  <Lines>4</Lines>
  <Paragraphs>6</Paragraphs>
  <TotalTime>1</TotalTime>
  <ScaleCrop>false</ScaleCrop>
  <LinksUpToDate>false</LinksUpToDate>
  <CharactersWithSpaces>2951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2025-12-25T09:22:00Z</cp:lastPrinted>
  <dcterms:modified xsi:type="dcterms:W3CDTF">2025-12-26T02:59:05Z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BB018AFB32044CBA9BBF5AFD15D1D5A4_13</vt:lpwstr>
  </property>
  <property fmtid="{D5CDD505-2E9C-101B-9397-08002B2CF9AE}" pid="4" name="KSOTemplateDocerSaveRecord">
    <vt:lpwstr>eyJoZGlkIjoiYWE4ZTYyMmEwMjdhZDk4N2M1NWZmMGZjYjgwYjc5MDAiLCJ1c2VySWQiOiI0NDA3NDkwMDAifQ==</vt:lpwstr>
  </property>
</Properties>
</file>