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hint="eastAsia" w:ascii="华文中宋" w:hAnsi="华文中宋" w:eastAsia="华文中宋"/>
          <w:color w:val="FF0000"/>
          <w:spacing w:val="-20"/>
          <w:sz w:val="18"/>
          <w:szCs w:val="18"/>
          <w:lang w:val="en-US" w:eastAsia="zh-CN"/>
        </w:rPr>
      </w:pPr>
      <w:r>
        <w:rPr>
          <w:rFonts w:hint="eastAsia" w:ascii="华文中宋" w:hAnsi="华文中宋" w:eastAsia="华文中宋"/>
          <w:color w:val="FF0000"/>
          <w:spacing w:val="-20"/>
          <w:sz w:val="18"/>
          <w:szCs w:val="18"/>
          <w:lang w:val="en-US" w:eastAsia="zh-CN"/>
        </w:rPr>
        <w:t xml:space="preserve"> </w:t>
      </w: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20"/>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2</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15B94BFE">
      <w:pPr>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sz w:val="44"/>
          <w:szCs w:val="44"/>
          <w:lang w:val="en-US" w:eastAsia="zh-CN"/>
        </w:rPr>
        <w:t>泉东站10千伏</w:t>
      </w:r>
    </w:p>
    <w:p w14:paraId="1F9AF45F">
      <w:pPr>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高新纵四路线、高新纵五路线新建工程</w:t>
      </w:r>
    </w:p>
    <w:p w14:paraId="1BC07D09">
      <w:pPr>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（含配电自动化及通信）项目</w:t>
      </w:r>
    </w:p>
    <w:p w14:paraId="2E1897C3">
      <w:pPr>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核准的批复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2D18B103">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bCs/>
          <w:spacing w:val="-20"/>
          <w:sz w:val="32"/>
          <w:szCs w:val="32"/>
          <w:lang w:eastAsia="zh-CN"/>
        </w:rPr>
        <w:t>广西</w:t>
      </w:r>
      <w:r>
        <w:rPr>
          <w:rFonts w:hint="eastAsia" w:ascii="仿宋_GB2312" w:eastAsia="仿宋_GB2312"/>
          <w:bCs/>
          <w:spacing w:val="-20"/>
          <w:sz w:val="32"/>
          <w:szCs w:val="32"/>
        </w:rPr>
        <w:t>玉林高新技术产业开发区管理委员会科技和经济发展部</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w:t>
      </w:r>
    </w:p>
    <w:p w14:paraId="106A32F0">
      <w:pPr>
        <w:keepNext w:val="0"/>
        <w:keepLines w:val="0"/>
        <w:widowControl/>
        <w:suppressLineNumbers w:val="0"/>
        <w:jc w:val="left"/>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eastAsia="仿宋_GB2312" w:cs="Times New Roman"/>
          <w:color w:val="000000" w:themeColor="text1"/>
          <w:sz w:val="32"/>
          <w:szCs w:val="32"/>
          <w:lang w:eastAsia="zh-CN"/>
          <w14:textFill>
            <w14:solidFill>
              <w14:schemeClr w14:val="tx1"/>
            </w14:solidFill>
          </w14:textFill>
        </w:rPr>
        <w:t>关于</w:t>
      </w:r>
      <w:r>
        <w:rPr>
          <w:rFonts w:ascii="仿宋_GB2312" w:hAnsi="宋体" w:eastAsia="仿宋_GB2312" w:cs="仿宋_GB2312"/>
          <w:color w:val="000000"/>
          <w:kern w:val="0"/>
          <w:sz w:val="31"/>
          <w:szCs w:val="31"/>
          <w:lang w:val="en-US" w:eastAsia="zh-CN" w:bidi="ar"/>
        </w:rPr>
        <w:t>泉东站10kV高新纵四路线、高新纵五路线新建工</w:t>
      </w:r>
    </w:p>
    <w:p w14:paraId="17D36685">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宋体" w:eastAsia="仿宋_GB2312" w:cs="仿宋_GB2312"/>
          <w:color w:val="000000"/>
          <w:kern w:val="0"/>
          <w:sz w:val="31"/>
          <w:szCs w:val="31"/>
          <w:lang w:val="en-US" w:eastAsia="zh-CN" w:bidi="ar"/>
        </w:rPr>
        <w:t>程（含配电自动化及通信）的核准请示</w:t>
      </w:r>
      <w:r>
        <w:rPr>
          <w:rFonts w:hint="eastAsia" w:ascii="仿宋_GB2312" w:hAnsi="Times New Roman" w:eastAsia="仿宋_GB2312" w:cs="Times New Roman"/>
          <w:color w:val="000000" w:themeColor="text1"/>
          <w:sz w:val="32"/>
          <w:szCs w:val="32"/>
          <w14:textFill>
            <w14:solidFill>
              <w14:schemeClr w14:val="tx1"/>
            </w14:solidFill>
          </w14:textFill>
        </w:rPr>
        <w:t>及相关材料收悉。经研究，现将该项目核准事项批复如下：</w:t>
      </w:r>
    </w:p>
    <w:p w14:paraId="4D99479F">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ascii="仿宋_GB2312" w:hAnsi="宋体" w:eastAsia="仿宋_GB2312" w:cs="仿宋_GB2312"/>
          <w:color w:val="000000"/>
          <w:kern w:val="0"/>
          <w:sz w:val="31"/>
          <w:szCs w:val="31"/>
          <w:lang w:val="en-US" w:eastAsia="zh-CN" w:bidi="ar"/>
        </w:rPr>
        <w:t>为满足玉林市负荷发展的用电需要，提高玉东新区配电网安</w:t>
      </w:r>
      <w:r>
        <w:rPr>
          <w:rFonts w:hint="eastAsia" w:ascii="仿宋_GB2312" w:hAnsi="宋体" w:eastAsia="仿宋_GB2312" w:cs="仿宋_GB2312"/>
          <w:color w:val="000000"/>
          <w:kern w:val="0"/>
          <w:sz w:val="31"/>
          <w:szCs w:val="31"/>
          <w:lang w:val="en-US" w:eastAsia="zh-CN" w:bidi="ar"/>
        </w:rPr>
        <w:t>全性、供电能力和供电可靠性</w:t>
      </w:r>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ascii="仿宋_GB2312" w:hAnsi="宋体" w:eastAsia="仿宋_GB2312" w:cs="仿宋_GB2312"/>
          <w:color w:val="000000"/>
          <w:kern w:val="0"/>
          <w:sz w:val="31"/>
          <w:szCs w:val="31"/>
          <w:lang w:val="en-US" w:eastAsia="zh-CN" w:bidi="ar"/>
        </w:rPr>
        <w:t>泉东站10kV高新纵四路线、高新纵五路线新建工</w:t>
      </w:r>
      <w:r>
        <w:rPr>
          <w:rFonts w:hint="eastAsia" w:ascii="仿宋_GB2312" w:hAnsi="宋体" w:eastAsia="仿宋_GB2312" w:cs="仿宋_GB2312"/>
          <w:color w:val="000000"/>
          <w:kern w:val="0"/>
          <w:sz w:val="31"/>
          <w:szCs w:val="31"/>
          <w:lang w:val="en-US" w:eastAsia="zh-CN" w:bidi="ar"/>
        </w:rPr>
        <w:t>程（含配电自动化及通信）</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16AFFD54">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ascii="仿宋_GB2312" w:hAnsi="宋体" w:eastAsia="仿宋_GB2312" w:cs="仿宋_GB2312"/>
          <w:color w:val="000000"/>
          <w:kern w:val="0"/>
          <w:sz w:val="31"/>
          <w:szCs w:val="31"/>
          <w:lang w:val="en-US" w:eastAsia="zh-CN" w:bidi="ar"/>
        </w:rPr>
        <w:t>2601-450900-04-01-880749</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4E36ED67">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ascii="仿宋_GB2312" w:hAnsi="宋体" w:eastAsia="仿宋_GB2312" w:cs="仿宋_GB2312"/>
          <w:color w:val="000000"/>
          <w:kern w:val="0"/>
          <w:sz w:val="31"/>
          <w:szCs w:val="31"/>
          <w:lang w:val="en-US" w:eastAsia="zh-CN" w:bidi="ar"/>
        </w:rPr>
        <w:t>广西电网有限责任公司玉林供电局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3CB54488">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ascii="仿宋_GB2312" w:hAnsi="宋体" w:eastAsia="仿宋_GB2312" w:cs="仿宋_GB2312"/>
          <w:color w:val="000000"/>
          <w:kern w:val="0"/>
          <w:sz w:val="31"/>
          <w:szCs w:val="31"/>
          <w:lang w:val="en-US" w:eastAsia="zh-CN" w:bidi="ar"/>
        </w:rPr>
        <w:t>玉林市玉东新区</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4483F0FE">
      <w:pPr>
        <w:keepNext w:val="0"/>
        <w:keepLines w:val="0"/>
        <w:widowControl/>
        <w:suppressLineNumbers w:val="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14574"/>
      <w:bookmarkStart w:id="1" w:name="_Toc103065871"/>
      <w:bookmarkStart w:id="2" w:name="_Toc1995_WPSOffice_Level3"/>
      <w:bookmarkStart w:id="3" w:name="_Toc102_WPSOffice_Level3"/>
      <w:bookmarkStart w:id="4" w:name="_Toc9123"/>
      <w:bookmarkStart w:id="5" w:name="_Toc6301"/>
      <w:bookmarkStart w:id="6" w:name="_Toc29109_WPSOffice_Level3"/>
    </w:p>
    <w:p w14:paraId="0E257A0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宋体" w:eastAsia="仿宋_GB2312" w:cs="仿宋_GB2312"/>
          <w:color w:val="000000"/>
          <w:kern w:val="0"/>
          <w:sz w:val="31"/>
          <w:szCs w:val="31"/>
          <w:lang w:val="en-US" w:eastAsia="zh-CN" w:bidi="ar"/>
        </w:rPr>
        <w:t>10千伏及以下配电网项目（共1项）。</w:t>
      </w:r>
    </w:p>
    <w:p w14:paraId="1698563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kern w:val="0"/>
          <w:sz w:val="31"/>
          <w:szCs w:val="31"/>
          <w:lang w:val="en-US" w:eastAsia="zh-CN" w:bidi="ar"/>
        </w:rPr>
        <w:t>新建10千伏线路4.03千米；新建智能型开闭所2台；新建智能型柱上开关2台</w:t>
      </w:r>
      <w:r>
        <w:rPr>
          <w:rFonts w:hint="eastAsia" w:ascii="仿宋_GB2312" w:hAnsi="宋体" w:eastAsia="仿宋_GB2312" w:cs="宋体"/>
          <w:sz w:val="32"/>
          <w:szCs w:val="32"/>
          <w:lang w:val="zh-CN"/>
        </w:rPr>
        <w:t>。</w:t>
      </w:r>
    </w:p>
    <w:p w14:paraId="4C48661A">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估算</w:t>
      </w:r>
      <w:r>
        <w:rPr>
          <w:rFonts w:hint="eastAsia" w:ascii="仿宋_GB2312" w:hAnsi="宋体" w:eastAsia="仿宋_GB2312" w:cs="宋体"/>
          <w:bCs/>
          <w:color w:val="000000" w:themeColor="text1"/>
          <w:sz w:val="32"/>
          <w:szCs w:val="32"/>
          <w:lang w:eastAsia="zh-CN"/>
          <w14:textFill>
            <w14:solidFill>
              <w14:schemeClr w14:val="tx1"/>
            </w14:solidFill>
          </w14:textFill>
        </w:rPr>
        <w:t>总</w:t>
      </w:r>
      <w:r>
        <w:rPr>
          <w:rFonts w:hint="eastAsia" w:ascii="仿宋_GB2312" w:hAnsi="宋体" w:eastAsia="仿宋_GB2312" w:cs="宋体"/>
          <w:bCs/>
          <w:color w:val="000000" w:themeColor="text1"/>
          <w:sz w:val="32"/>
          <w:szCs w:val="32"/>
          <w14:textFill>
            <w14:solidFill>
              <w14:schemeClr w14:val="tx1"/>
            </w14:solidFill>
          </w14:textFill>
        </w:rPr>
        <w:t>投资和资金来源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ascii="仿宋_GB2312" w:hAnsi="宋体" w:eastAsia="仿宋_GB2312" w:cs="仿宋_GB2312"/>
          <w:color w:val="000000"/>
          <w:kern w:val="0"/>
          <w:sz w:val="31"/>
          <w:szCs w:val="31"/>
          <w:lang w:val="en-US" w:eastAsia="zh-CN" w:bidi="ar"/>
        </w:rPr>
        <w:t>项目动态总投资905.52万元，静</w:t>
      </w:r>
      <w:r>
        <w:rPr>
          <w:rFonts w:hint="eastAsia" w:ascii="仿宋_GB2312" w:hAnsi="宋体" w:eastAsia="仿宋_GB2312" w:cs="仿宋_GB2312"/>
          <w:color w:val="000000"/>
          <w:kern w:val="0"/>
          <w:sz w:val="31"/>
          <w:szCs w:val="31"/>
          <w:lang w:val="en-US" w:eastAsia="zh-CN" w:bidi="ar"/>
        </w:rPr>
        <w:t>态总投资899.23万元。建设单位出资179.85万元（占静态投资的20%），其余719.38万元由建设单位贷款解决</w:t>
      </w:r>
      <w:r>
        <w:rPr>
          <w:rFonts w:hint="eastAsia" w:ascii="仿宋_GB2312" w:hAnsi="宋体" w:eastAsia="仿宋_GB2312" w:cs="宋体"/>
          <w:bCs/>
          <w:color w:val="000000" w:themeColor="text1"/>
          <w:sz w:val="32"/>
          <w:szCs w:val="32"/>
          <w14:textFill>
            <w14:solidFill>
              <w14:schemeClr w14:val="tx1"/>
            </w14:solidFill>
          </w14:textFill>
        </w:rPr>
        <w:t>。</w:t>
      </w:r>
    </w:p>
    <w:p w14:paraId="5236F201">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程建设及运行应满足国家环保标准，在技术方案和导线、材料选择等方面要充分考虑节能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p>
    <w:p w14:paraId="2E829A2B">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八、请项目建设单位严格执行国家及自治区有关招标投标的规定，按照本批复所附《招标事项核准意见表》的要求，依法开展项目招标工作。</w:t>
      </w:r>
    </w:p>
    <w:p w14:paraId="0A56F9C6">
      <w:pPr>
        <w:keepNext w:val="0"/>
        <w:keepLines w:val="0"/>
        <w:widowControl/>
        <w:suppressLineNumbers w:val="0"/>
        <w:jc w:val="left"/>
      </w:pPr>
      <w:r>
        <w:rPr>
          <w:rFonts w:hint="eastAsia" w:ascii="仿宋_GB2312" w:hAnsi="仿宋_GB2312" w:eastAsia="仿宋_GB2312" w:cs="仿宋_GB2312"/>
          <w:sz w:val="32"/>
          <w:szCs w:val="32"/>
          <w:lang w:val="en-US" w:eastAsia="zh-CN"/>
        </w:rPr>
        <w:t>　　九、按照相关法律、行政法规的规定，核准项目的相关依据是《广西壮族自治区能源局关于加强电网规划建设工作的通知》(桂能电力〔2025〕234号）、《玉东新区建设局关于</w:t>
      </w:r>
      <w:r>
        <w:rPr>
          <w:rFonts w:ascii="仿宋_GB2312" w:hAnsi="宋体" w:eastAsia="仿宋_GB2312" w:cs="仿宋_GB2312"/>
          <w:color w:val="000000"/>
          <w:kern w:val="0"/>
          <w:sz w:val="31"/>
          <w:szCs w:val="31"/>
          <w:lang w:val="en-US" w:eastAsia="zh-CN" w:bidi="ar"/>
        </w:rPr>
        <w:t>泉东站10kV高新纵四路线、高新纵五路线新建工</w:t>
      </w:r>
      <w:r>
        <w:rPr>
          <w:rFonts w:hint="eastAsia" w:ascii="仿宋_GB2312" w:hAnsi="宋体" w:eastAsia="仿宋_GB2312" w:cs="仿宋_GB2312"/>
          <w:color w:val="000000"/>
          <w:kern w:val="0"/>
          <w:sz w:val="31"/>
          <w:szCs w:val="31"/>
          <w:lang w:val="en-US" w:eastAsia="zh-CN" w:bidi="ar"/>
        </w:rPr>
        <w:t>程（含配电自动化及通信）</w:t>
      </w:r>
    </w:p>
    <w:p w14:paraId="76EDD667">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线路路径的规划意见》及</w:t>
      </w:r>
      <w:r>
        <w:rPr>
          <w:rFonts w:ascii="仿宋_GB2312" w:hAnsi="宋体" w:eastAsia="仿宋_GB2312" w:cs="仿宋_GB2312"/>
          <w:color w:val="000000"/>
          <w:kern w:val="0"/>
          <w:sz w:val="31"/>
          <w:szCs w:val="31"/>
          <w:lang w:val="en-US" w:eastAsia="zh-CN" w:bidi="ar"/>
        </w:rPr>
        <w:t>《关于清湾镇清平村清平新村台区改造工程等36</w:t>
      </w:r>
      <w:r>
        <w:rPr>
          <w:rFonts w:hint="eastAsia" w:ascii="仿宋_GB2312" w:hAnsi="宋体" w:eastAsia="仿宋_GB2312" w:cs="仿宋_GB2312"/>
          <w:color w:val="000000"/>
          <w:kern w:val="0"/>
          <w:sz w:val="31"/>
          <w:szCs w:val="31"/>
          <w:lang w:val="en-US" w:eastAsia="zh-CN" w:bidi="ar"/>
        </w:rPr>
        <w:t>个项目可行性研究调整报告的批复》（玉供电规划〔2025〕74号）文件批复了该工程可行性研究报告</w:t>
      </w:r>
      <w:r>
        <w:rPr>
          <w:rFonts w:hint="eastAsia" w:ascii="仿宋_GB2312" w:hAnsi="仿宋_GB2312" w:eastAsia="仿宋_GB2312" w:cs="仿宋_GB2312"/>
          <w:sz w:val="32"/>
          <w:szCs w:val="32"/>
          <w:lang w:val="en-US" w:eastAsia="zh-CN"/>
        </w:rPr>
        <w:t>等文件。</w:t>
      </w:r>
    </w:p>
    <w:p w14:paraId="5C83D482">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十、如需对本项目核准文件所规定的有</w:t>
      </w:r>
      <w:bookmarkStart w:id="7" w:name="_GoBack"/>
      <w:bookmarkEnd w:id="7"/>
      <w:r>
        <w:rPr>
          <w:rFonts w:hint="eastAsia" w:ascii="仿宋_GB2312" w:hAnsi="仿宋_GB2312" w:eastAsia="仿宋_GB2312" w:cs="仿宋_GB2312"/>
          <w:sz w:val="32"/>
          <w:szCs w:val="32"/>
          <w:lang w:val="en-US" w:eastAsia="zh-CN"/>
        </w:rPr>
        <w:t>关内容进行调整，请按照《企业投资项目核准和备案管理办法》的有关规定，及时提出变更申请，我委将根据项目具体情况，出具是否同意变更的书面决定。</w:t>
      </w:r>
    </w:p>
    <w:p w14:paraId="7BF6EEF5">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十一、请项目建设单位在项目开工建设前，依据相关法律、行政法规规定办理规划许可、土地使用、资源利用、节能、安全生产、环评等相关报建手续。</w:t>
      </w:r>
    </w:p>
    <w:p w14:paraId="5E78B3AC">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项目建设单位要切实抓好建设安全管理工作，严格执行国家安全生产法律法规及行业规章制度，确保安全生产责任落实到位，杜绝发生安全事故。要按照《建设工程质量管理条例》（国务院令第279号）、《国家能源局关于进一步明确电力建设工程质量监督机构业务工作的通知》（国能函安全〔2020〕39号）和国家能源局有关规定，及时向电力质监机构办理质量监督注册手续、自觉接受质量监督检查。</w:t>
      </w:r>
    </w:p>
    <w:p w14:paraId="6470F323">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0A3BD0C2">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其他未详事项，严格按照有关法律法规规章执行。</w:t>
      </w:r>
    </w:p>
    <w:p w14:paraId="09486B52">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p>
    <w:p w14:paraId="4BCF23CA">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224A2330">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76D9385F">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8D71F93">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1F1F422E">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2128BBCB">
      <w:pPr>
        <w:pStyle w:val="33"/>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2026年1月</w:t>
      </w:r>
      <w:r>
        <w:rPr>
          <w:rFonts w:hint="eastAsia" w:eastAsia="仿宋_GB2312" w:cs="仿宋_GB2312"/>
          <w:color w:val="000000" w:themeColor="text1"/>
          <w:sz w:val="32"/>
          <w:szCs w:val="32"/>
          <w:lang w:val="en-US" w:eastAsia="zh-CN" w:bidi="ar-SA"/>
          <w14:textFill>
            <w14:solidFill>
              <w14:schemeClr w14:val="tx1"/>
            </w14:solidFill>
          </w14:textFill>
        </w:rPr>
        <w:t>21</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日</w:t>
      </w:r>
    </w:p>
    <w:p w14:paraId="1F45A20E">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41933F8A">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5"/>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cs="Times New Roman"/>
                <w:b/>
                <w:sz w:val="32"/>
                <w:szCs w:val="32"/>
                <w:lang w:eastAsia="zh-CN"/>
              </w:rPr>
            </w:pPr>
            <w:r>
              <w:rPr>
                <w:rFonts w:hint="eastAsia" w:ascii="方正小标宋简体" w:hAnsi="华文中宋" w:eastAsia="方正小标宋简体" w:cs="Times New Roman"/>
                <w:b/>
                <w:sz w:val="28"/>
                <w:szCs w:val="28"/>
              </w:rPr>
              <w:t>公开属性：</w:t>
            </w:r>
            <w:r>
              <w:rPr>
                <w:rFonts w:hint="eastAsia" w:ascii="方正小标宋简体" w:hAnsi="华文中宋" w:eastAsia="方正小标宋简体" w:cs="Times New Roman"/>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6</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21</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5E656654">
      <w:pPr>
        <w:keepNext w:val="0"/>
        <w:keepLines w:val="0"/>
        <w:widowControl/>
        <w:suppressLineNumbers w:val="0"/>
        <w:jc w:val="left"/>
      </w:pPr>
      <w:r>
        <w:rPr>
          <w:rFonts w:hint="eastAsia" w:ascii="宋体" w:hAnsi="宋体" w:eastAsia="宋体" w:cs="Times New Roman"/>
          <w:b/>
          <w:bCs/>
          <w:color w:val="000000" w:themeColor="text1"/>
          <w:sz w:val="24"/>
          <w14:textFill>
            <w14:solidFill>
              <w14:schemeClr w14:val="tx1"/>
            </w14:solidFill>
          </w14:textFill>
        </w:rPr>
        <w:t>项目名称：</w:t>
      </w:r>
      <w:r>
        <w:rPr>
          <w:rFonts w:ascii="仿宋_GB2312" w:hAnsi="宋体" w:eastAsia="仿宋_GB2312" w:cs="仿宋_GB2312"/>
          <w:color w:val="000000"/>
          <w:kern w:val="0"/>
          <w:sz w:val="31"/>
          <w:szCs w:val="31"/>
          <w:lang w:val="en-US" w:eastAsia="zh-CN" w:bidi="ar"/>
        </w:rPr>
        <w:t>泉东站10kV高新纵四路线、高新纵五路线新建工</w:t>
      </w:r>
    </w:p>
    <w:p w14:paraId="2009694E">
      <w:pPr>
        <w:keepNext w:val="0"/>
        <w:keepLines w:val="0"/>
        <w:widowControl/>
        <w:suppressLineNumbers w:val="0"/>
        <w:jc w:val="left"/>
        <w:rPr>
          <w:rFonts w:ascii="宋体" w:hAnsi="宋体" w:eastAsia="宋体" w:cs="Times New Roman"/>
          <w:color w:val="000000" w:themeColor="text1"/>
          <w:sz w:val="24"/>
          <w14:textFill>
            <w14:solidFill>
              <w14:schemeClr w14:val="tx1"/>
            </w14:solidFill>
          </w14:textFill>
        </w:rPr>
      </w:pPr>
      <w:r>
        <w:rPr>
          <w:rFonts w:hint="eastAsia" w:ascii="仿宋_GB2312" w:hAnsi="宋体" w:eastAsia="仿宋_GB2312" w:cs="仿宋_GB2312"/>
          <w:color w:val="000000"/>
          <w:kern w:val="0"/>
          <w:sz w:val="31"/>
          <w:szCs w:val="31"/>
          <w:lang w:val="en-US" w:eastAsia="zh-CN" w:bidi="ar"/>
        </w:rPr>
        <w:t>程（含配电自动化及通信）项目</w:t>
      </w:r>
    </w:p>
    <w:tbl>
      <w:tblPr>
        <w:tblStyle w:val="15"/>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08BDC9E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12A84CC5">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1CC846B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60EE16A1">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2E448E5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26FD9D1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60ACD4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5952A584">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794D805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450E59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7E88227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267D7614">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27A53F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5DB8D9A9">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0F98BC2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49B825D4">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4855F9E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4CAF1828">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72A6664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3F88A68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5433FECE">
            <w:pPr>
              <w:jc w:val="center"/>
              <w:rPr>
                <w:rFonts w:ascii="Times New Roman" w:hAnsi="Times New Roman" w:eastAsia="宋体" w:cs="Times New Roman"/>
                <w:b/>
                <w:color w:val="000000" w:themeColor="text1"/>
                <w:sz w:val="24"/>
                <w14:textFill>
                  <w14:solidFill>
                    <w14:schemeClr w14:val="tx1"/>
                  </w14:solidFill>
                </w14:textFill>
              </w:rPr>
            </w:pPr>
          </w:p>
        </w:tc>
      </w:tr>
      <w:tr w14:paraId="19853B5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29ABBEF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7E21962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3B1395B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0B2EB525">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267A604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21FBFE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44A7FA45">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2FD61CC4">
            <w:pPr>
              <w:jc w:val="center"/>
              <w:rPr>
                <w:rFonts w:ascii="Times New Roman" w:hAnsi="Times New Roman" w:eastAsia="宋体" w:cs="Times New Roman"/>
                <w:color w:val="000000" w:themeColor="text1"/>
                <w:sz w:val="24"/>
                <w14:textFill>
                  <w14:solidFill>
                    <w14:schemeClr w14:val="tx1"/>
                  </w14:solidFill>
                </w14:textFill>
              </w:rPr>
            </w:pPr>
          </w:p>
        </w:tc>
      </w:tr>
      <w:tr w14:paraId="29C48E9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A52C3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031A14B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A8E06DD">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22CB91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3C37F7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423C5C3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00851CB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398F3CBE">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694BA9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95F5E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6B83931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2DBBBCF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DB3D36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8B5734">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AA5C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E5736A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4F6385C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AED08A6">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4E61C4B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49E885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3223AC8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2328CB55">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4868E97">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02B23C0">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BEE0CE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42A461E5">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41802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2227878F">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2780C55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86549E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750A841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3F83383">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09FC236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A25656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C01925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597FC1">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2A85429E">
            <w:pPr>
              <w:jc w:val="center"/>
              <w:rPr>
                <w:rFonts w:ascii="Times New Roman" w:hAnsi="Times New Roman" w:eastAsia="宋体" w:cs="Times New Roman"/>
                <w:color w:val="000000" w:themeColor="text1"/>
                <w:sz w:val="24"/>
                <w14:textFill>
                  <w14:solidFill>
                    <w14:schemeClr w14:val="tx1"/>
                  </w14:solidFill>
                </w14:textFill>
              </w:rPr>
            </w:pPr>
          </w:p>
        </w:tc>
      </w:tr>
      <w:tr w14:paraId="4BD6B28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F4A03A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C0FC7E5">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DBCEC5A">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B30CB35">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164CE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48908C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550AA6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A887C39">
            <w:pPr>
              <w:jc w:val="center"/>
              <w:rPr>
                <w:rFonts w:ascii="Times New Roman" w:hAnsi="Times New Roman" w:eastAsia="宋体" w:cs="Times New Roman"/>
                <w:color w:val="000000" w:themeColor="text1"/>
                <w:sz w:val="24"/>
                <w14:textFill>
                  <w14:solidFill>
                    <w14:schemeClr w14:val="tx1"/>
                  </w14:solidFill>
                </w14:textFill>
              </w:rPr>
            </w:pPr>
          </w:p>
        </w:tc>
      </w:tr>
      <w:tr w14:paraId="63AB0FA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2B8F2B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50A4D5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2F32298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6696CA8">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081C019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8862D6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490B7FA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46CA71">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AA286DF">
            <w:pPr>
              <w:jc w:val="center"/>
              <w:rPr>
                <w:rFonts w:ascii="Times New Roman" w:hAnsi="Times New Roman" w:eastAsia="宋体" w:cs="Times New Roman"/>
                <w:color w:val="000000" w:themeColor="text1"/>
                <w:sz w:val="24"/>
                <w14:textFill>
                  <w14:solidFill>
                    <w14:schemeClr w14:val="tx1"/>
                  </w14:solidFill>
                </w14:textFill>
              </w:rPr>
            </w:pPr>
          </w:p>
        </w:tc>
      </w:tr>
      <w:tr w14:paraId="003D763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AE41179">
            <w:pPr>
              <w:jc w:val="center"/>
              <w:rPr>
                <w:rFonts w:hint="eastAsia"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6CB4BB7E">
            <w:pPr>
              <w:jc w:val="center"/>
              <w:rPr>
                <w:rFonts w:hint="eastAsia"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6F96B90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E34D1F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362FC3D">
            <w:pPr>
              <w:jc w:val="center"/>
              <w:rPr>
                <w:rFonts w:hint="eastAsia"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ED3309">
            <w:pPr>
              <w:jc w:val="center"/>
              <w:rPr>
                <w:rFonts w:hint="eastAsia"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3E154029">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16C781A">
            <w:pPr>
              <w:jc w:val="center"/>
              <w:rPr>
                <w:rFonts w:ascii="Times New Roman" w:hAnsi="Times New Roman" w:eastAsia="宋体" w:cs="Times New Roman"/>
                <w:color w:val="000000" w:themeColor="text1"/>
                <w:sz w:val="24"/>
                <w14:textFill>
                  <w14:solidFill>
                    <w14:schemeClr w14:val="tx1"/>
                  </w14:solidFill>
                </w14:textFill>
              </w:rPr>
            </w:pPr>
          </w:p>
        </w:tc>
      </w:tr>
      <w:tr w14:paraId="5857ECE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1A6FE357">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1AB77100">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53E6E6A1">
            <w:pPr>
              <w:rPr>
                <w:rFonts w:ascii="Times New Roman" w:hAnsi="Times New Roman" w:eastAsia="宋体" w:cs="Times New Roman"/>
                <w:color w:val="000000" w:themeColor="text1"/>
                <w:sz w:val="24"/>
                <w14:textFill>
                  <w14:solidFill>
                    <w14:schemeClr w14:val="tx1"/>
                  </w14:solidFill>
                </w14:textFill>
              </w:rPr>
            </w:pPr>
          </w:p>
          <w:p w14:paraId="1ADE26FA">
            <w:pPr>
              <w:ind w:left="5880" w:leftChars="2800"/>
              <w:rPr>
                <w:rFonts w:ascii="Times New Roman" w:hAnsi="Times New Roman" w:eastAsia="宋体" w:cs="Times New Roman"/>
                <w:color w:val="000000" w:themeColor="text1"/>
                <w:sz w:val="24"/>
                <w14:textFill>
                  <w14:solidFill>
                    <w14:schemeClr w14:val="tx1"/>
                  </w14:solidFill>
                </w14:textFill>
              </w:rPr>
            </w:pPr>
          </w:p>
          <w:p w14:paraId="300FA6AE">
            <w:pPr>
              <w:jc w:val="center"/>
              <w:rPr>
                <w:rFonts w:ascii="Times New Roman" w:hAnsi="Times New Roman" w:eastAsia="宋体" w:cs="Times New Roman"/>
                <w:color w:val="000000" w:themeColor="text1"/>
                <w:sz w:val="24"/>
                <w14:textFill>
                  <w14:solidFill>
                    <w14:schemeClr w14:val="tx1"/>
                  </w14:solidFill>
                </w14:textFill>
              </w:rPr>
            </w:pPr>
          </w:p>
          <w:p w14:paraId="38C97272">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w:t>
            </w:r>
            <w:r>
              <w:rPr>
                <w:rFonts w:hint="eastAsia" w:ascii="宋体" w:hAnsi="宋体" w:cs="Times New Roman"/>
                <w:color w:val="000000" w:themeColor="text1"/>
                <w:kern w:val="2"/>
                <w:sz w:val="24"/>
                <w:szCs w:val="24"/>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年</w:t>
            </w:r>
            <w:r>
              <w:rPr>
                <w:rFonts w:hint="eastAsia" w:ascii="宋体" w:hAnsi="宋体" w:cs="Times New Roman"/>
                <w:color w:val="000000" w:themeColor="text1"/>
                <w:kern w:val="2"/>
                <w:sz w:val="24"/>
                <w:szCs w:val="24"/>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月</w:t>
            </w:r>
            <w:r>
              <w:rPr>
                <w:rFonts w:hint="eastAsia" w:ascii="宋体" w:hAnsi="宋体" w:cs="Times New Roman"/>
                <w:color w:val="000000" w:themeColor="text1"/>
                <w:kern w:val="2"/>
                <w:sz w:val="24"/>
                <w:szCs w:val="24"/>
                <w:lang w:val="en-US" w:eastAsia="zh-CN" w:bidi="ar-SA"/>
                <w14:textFill>
                  <w14:solidFill>
                    <w14:schemeClr w14:val="tx1"/>
                  </w14:solidFill>
                </w14:textFill>
              </w:rPr>
              <w:t>21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w:t>
            </w:r>
          </w:p>
          <w:p w14:paraId="4B0FE99D">
            <w:pPr>
              <w:jc w:val="both"/>
              <w:rPr>
                <w:rFonts w:ascii="Times New Roman" w:hAnsi="Times New Roman" w:eastAsia="宋体" w:cs="Times New Roman"/>
                <w:color w:val="000000" w:themeColor="text1"/>
                <w:sz w:val="24"/>
                <w14:textFill>
                  <w14:solidFill>
                    <w14:schemeClr w14:val="tx1"/>
                  </w14:solidFill>
                </w14:textFill>
              </w:rPr>
            </w:pPr>
          </w:p>
          <w:p w14:paraId="7A0EA02F">
            <w:pPr>
              <w:rPr>
                <w:rFonts w:ascii="Times New Roman" w:hAnsi="Times New Roman" w:eastAsia="宋体" w:cs="Times New Roman"/>
                <w:color w:val="000000" w:themeColor="text1"/>
                <w:sz w:val="24"/>
                <w14:textFill>
                  <w14:solidFill>
                    <w14:schemeClr w14:val="tx1"/>
                  </w14:solidFill>
                </w14:textFill>
              </w:rPr>
            </w:pPr>
          </w:p>
          <w:p w14:paraId="3E87DE09">
            <w:pPr>
              <w:rPr>
                <w:rFonts w:ascii="Times New Roman" w:hAnsi="Times New Roman" w:eastAsia="宋体" w:cs="Times New Roman"/>
                <w:color w:val="000000" w:themeColor="text1"/>
                <w:sz w:val="24"/>
                <w14:textFill>
                  <w14:solidFill>
                    <w14:schemeClr w14:val="tx1"/>
                  </w14:solidFill>
                </w14:textFill>
              </w:rPr>
            </w:pPr>
          </w:p>
        </w:tc>
      </w:tr>
    </w:tbl>
    <w:p w14:paraId="40790EED">
      <w:pPr>
        <w:rPr>
          <w:rFonts w:hint="eastAsia" w:ascii="仿宋" w:hAnsi="仿宋" w:eastAsia="仿宋" w:cs="仿宋"/>
          <w:sz w:val="32"/>
          <w:szCs w:val="32"/>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DCFCBAF">
      <w:pPr>
        <w:rPr>
          <w:rFonts w:hint="eastAsia" w:ascii="仿宋" w:hAnsi="仿宋" w:eastAsia="仿宋" w:cs="仿宋"/>
          <w:sz w:val="32"/>
          <w:szCs w:val="32"/>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2886062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12F210B1">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B5889ED">
      <w:pPr>
        <w:keepNext w:val="0"/>
        <w:keepLines w:val="0"/>
        <w:widowControl/>
        <w:suppressLineNumbers w:val="0"/>
        <w:jc w:val="left"/>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ascii="仿宋_GB2312" w:hAnsi="宋体" w:eastAsia="仿宋_GB2312" w:cs="仿宋_GB2312"/>
          <w:color w:val="000000"/>
          <w:kern w:val="0"/>
          <w:sz w:val="31"/>
          <w:szCs w:val="31"/>
          <w:lang w:val="en-US" w:eastAsia="zh-CN" w:bidi="ar"/>
        </w:rPr>
        <w:t>广西电网有限责任公司玉林供电局</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p>
    <w:p w14:paraId="466D0617">
      <w:pPr>
        <w:spacing w:line="600" w:lineRule="exact"/>
        <w:ind w:firstLine="4579" w:firstLineChars="1431"/>
        <w:rPr>
          <w:rFonts w:hint="eastAsia" w:ascii="仿宋_GB2312" w:hAnsi="仿宋_GB2312" w:eastAsia="仿宋_GB2312" w:cs="仿宋_GB2312"/>
          <w:sz w:val="32"/>
          <w:szCs w:val="32"/>
        </w:rPr>
      </w:pPr>
    </w:p>
    <w:p w14:paraId="4763FB91">
      <w:pPr>
        <w:rPr>
          <w:rFonts w:hint="eastAsia" w:ascii="仿宋" w:hAnsi="仿宋" w:eastAsia="仿宋" w:cs="仿宋"/>
          <w:sz w:val="32"/>
          <w:szCs w:val="32"/>
        </w:rPr>
      </w:pPr>
    </w:p>
    <w:p w14:paraId="5268F88D">
      <w:pPr>
        <w:rPr>
          <w:rFonts w:hint="eastAsia" w:ascii="宋体" w:hAnsi="宋体" w:eastAsia="宋体"/>
          <w:sz w:val="24"/>
          <w:lang w:eastAsia="zh-CN"/>
        </w:rPr>
      </w:pPr>
    </w:p>
    <w:sectPr>
      <w:footerReference r:id="rId6"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10"/>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10"/>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9D2C6">
                          <w:pPr>
                            <w:pStyle w:val="10"/>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79D2C6">
                    <w:pPr>
                      <w:pStyle w:val="10"/>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5D0D5E"/>
    <w:rsid w:val="01FB041A"/>
    <w:rsid w:val="020A2568"/>
    <w:rsid w:val="021C52B0"/>
    <w:rsid w:val="029B227C"/>
    <w:rsid w:val="03E46820"/>
    <w:rsid w:val="06FD4180"/>
    <w:rsid w:val="08000695"/>
    <w:rsid w:val="09575B61"/>
    <w:rsid w:val="096E718E"/>
    <w:rsid w:val="0AC0648A"/>
    <w:rsid w:val="0EC26A83"/>
    <w:rsid w:val="10266135"/>
    <w:rsid w:val="122D1EA5"/>
    <w:rsid w:val="13094DDF"/>
    <w:rsid w:val="15193333"/>
    <w:rsid w:val="15E433A4"/>
    <w:rsid w:val="1683496B"/>
    <w:rsid w:val="16CB00C0"/>
    <w:rsid w:val="180F3C35"/>
    <w:rsid w:val="1B544B28"/>
    <w:rsid w:val="1BA95D0D"/>
    <w:rsid w:val="1EAE09F3"/>
    <w:rsid w:val="1F6F10D2"/>
    <w:rsid w:val="1FAD4BCF"/>
    <w:rsid w:val="2217065D"/>
    <w:rsid w:val="23CF4924"/>
    <w:rsid w:val="240B230C"/>
    <w:rsid w:val="2548374E"/>
    <w:rsid w:val="26393298"/>
    <w:rsid w:val="2680013C"/>
    <w:rsid w:val="297D349C"/>
    <w:rsid w:val="29BB2216"/>
    <w:rsid w:val="2AE47955"/>
    <w:rsid w:val="2B051FCE"/>
    <w:rsid w:val="2D102879"/>
    <w:rsid w:val="2E8224E6"/>
    <w:rsid w:val="31BE21B5"/>
    <w:rsid w:val="31CC64FB"/>
    <w:rsid w:val="326E42CA"/>
    <w:rsid w:val="33226E62"/>
    <w:rsid w:val="36266C69"/>
    <w:rsid w:val="383A69FC"/>
    <w:rsid w:val="38410E10"/>
    <w:rsid w:val="391A2715"/>
    <w:rsid w:val="3A06303A"/>
    <w:rsid w:val="3AF77A81"/>
    <w:rsid w:val="3DCC25D9"/>
    <w:rsid w:val="40A14E3D"/>
    <w:rsid w:val="42F75C15"/>
    <w:rsid w:val="44AC1FC9"/>
    <w:rsid w:val="489D100D"/>
    <w:rsid w:val="4C126797"/>
    <w:rsid w:val="4DB14BCF"/>
    <w:rsid w:val="4E087FAC"/>
    <w:rsid w:val="50F25C6E"/>
    <w:rsid w:val="53F405BE"/>
    <w:rsid w:val="55A60148"/>
    <w:rsid w:val="565C5527"/>
    <w:rsid w:val="5664316A"/>
    <w:rsid w:val="583A23D4"/>
    <w:rsid w:val="58FE1654"/>
    <w:rsid w:val="596B480F"/>
    <w:rsid w:val="59CA3EB2"/>
    <w:rsid w:val="5A3D1059"/>
    <w:rsid w:val="5C78796F"/>
    <w:rsid w:val="5FEC47EF"/>
    <w:rsid w:val="60D00657"/>
    <w:rsid w:val="639D7CBB"/>
    <w:rsid w:val="63E961A8"/>
    <w:rsid w:val="684C450D"/>
    <w:rsid w:val="69197DE4"/>
    <w:rsid w:val="6AAF68C7"/>
    <w:rsid w:val="6B9D470F"/>
    <w:rsid w:val="6BCE135A"/>
    <w:rsid w:val="6F1F62E5"/>
    <w:rsid w:val="701D1D1F"/>
    <w:rsid w:val="70C1323B"/>
    <w:rsid w:val="71C60738"/>
    <w:rsid w:val="73AE2A7E"/>
    <w:rsid w:val="741639DC"/>
    <w:rsid w:val="74537B4E"/>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Salutation"/>
    <w:basedOn w:val="1"/>
    <w:next w:val="1"/>
    <w:qFormat/>
    <w:uiPriority w:val="0"/>
  </w:style>
  <w:style w:type="paragraph" w:styleId="5">
    <w:name w:val="Body Text"/>
    <w:basedOn w:val="1"/>
    <w:next w:val="6"/>
    <w:link w:val="21"/>
    <w:qFormat/>
    <w:uiPriority w:val="0"/>
    <w:pPr>
      <w:spacing w:after="120"/>
    </w:pPr>
  </w:style>
  <w:style w:type="paragraph" w:styleId="6">
    <w:name w:val="Title"/>
    <w:basedOn w:val="3"/>
    <w:next w:val="1"/>
    <w:link w:val="25"/>
    <w:qFormat/>
    <w:uiPriority w:val="0"/>
    <w:pPr>
      <w:widowControl/>
      <w:spacing w:before="0" w:after="0" w:line="640" w:lineRule="exact"/>
      <w:jc w:val="center"/>
    </w:pPr>
    <w:rPr>
      <w:rFonts w:eastAsia="方正小标宋_GBK"/>
      <w:bCs w:val="0"/>
      <w:sz w:val="36"/>
      <w:szCs w:val="32"/>
    </w:rPr>
  </w:style>
  <w:style w:type="paragraph" w:styleId="7">
    <w:name w:val="Body Text Indent"/>
    <w:basedOn w:val="1"/>
    <w:link w:val="22"/>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3"/>
    <w:qFormat/>
    <w:uiPriority w:val="0"/>
    <w:pPr>
      <w:ind w:left="100" w:leftChars="2500"/>
    </w:p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paragraph" w:customStyle="1" w:styleId="20">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1">
    <w:name w:val="正文文本 Char"/>
    <w:basedOn w:val="17"/>
    <w:link w:val="5"/>
    <w:qFormat/>
    <w:uiPriority w:val="0"/>
    <w:rPr>
      <w:kern w:val="2"/>
      <w:sz w:val="21"/>
      <w:szCs w:val="24"/>
    </w:rPr>
  </w:style>
  <w:style w:type="character" w:customStyle="1" w:styleId="22">
    <w:name w:val="正文文本缩进 Char"/>
    <w:basedOn w:val="17"/>
    <w:link w:val="7"/>
    <w:qFormat/>
    <w:uiPriority w:val="0"/>
    <w:rPr>
      <w:kern w:val="2"/>
      <w:sz w:val="21"/>
      <w:szCs w:val="24"/>
    </w:rPr>
  </w:style>
  <w:style w:type="character" w:customStyle="1" w:styleId="23">
    <w:name w:val="日期 Char"/>
    <w:basedOn w:val="17"/>
    <w:link w:val="9"/>
    <w:qFormat/>
    <w:uiPriority w:val="0"/>
    <w:rPr>
      <w:kern w:val="2"/>
      <w:sz w:val="21"/>
      <w:szCs w:val="24"/>
    </w:rPr>
  </w:style>
  <w:style w:type="character" w:customStyle="1" w:styleId="24">
    <w:name w:val="页脚 Char"/>
    <w:basedOn w:val="17"/>
    <w:link w:val="10"/>
    <w:qFormat/>
    <w:locked/>
    <w:uiPriority w:val="0"/>
    <w:rPr>
      <w:rFonts w:eastAsia="宋体"/>
      <w:kern w:val="2"/>
      <w:sz w:val="18"/>
      <w:szCs w:val="18"/>
      <w:lang w:val="en-US" w:eastAsia="zh-CN" w:bidi="ar-SA"/>
    </w:rPr>
  </w:style>
  <w:style w:type="character" w:customStyle="1" w:styleId="25">
    <w:name w:val="标题 Char1"/>
    <w:link w:val="6"/>
    <w:qFormat/>
    <w:uiPriority w:val="0"/>
    <w:rPr>
      <w:rFonts w:eastAsia="方正小标宋_GBK"/>
      <w:b/>
      <w:kern w:val="44"/>
      <w:sz w:val="36"/>
      <w:szCs w:val="32"/>
      <w:lang w:bidi="ar-SA"/>
    </w:rPr>
  </w:style>
  <w:style w:type="paragraph" w:customStyle="1" w:styleId="26">
    <w:name w:val="主送"/>
    <w:basedOn w:val="4"/>
    <w:next w:val="1"/>
    <w:qFormat/>
    <w:uiPriority w:val="0"/>
    <w:pPr>
      <w:widowControl/>
      <w:spacing w:line="600" w:lineRule="exact"/>
      <w:jc w:val="left"/>
    </w:pPr>
    <w:rPr>
      <w:rFonts w:ascii="Calibri" w:hAnsi="Calibri"/>
      <w:kern w:val="0"/>
      <w:sz w:val="20"/>
    </w:rPr>
  </w:style>
  <w:style w:type="character" w:customStyle="1" w:styleId="27">
    <w:name w:val="Char Char1"/>
    <w:qFormat/>
    <w:uiPriority w:val="0"/>
    <w:rPr>
      <w:rFonts w:eastAsia="方正小标宋_GBK"/>
      <w:b/>
      <w:kern w:val="44"/>
      <w:sz w:val="36"/>
      <w:szCs w:val="32"/>
      <w:lang w:bidi="ar-SA"/>
    </w:rPr>
  </w:style>
  <w:style w:type="character" w:customStyle="1" w:styleId="28">
    <w:name w:val="Char Char5"/>
    <w:qFormat/>
    <w:uiPriority w:val="0"/>
    <w:rPr>
      <w:rFonts w:ascii="Times New Roman" w:hAnsi="Times New Roman" w:eastAsia="方正小标宋_GBK" w:cs="Times New Roman"/>
      <w:b/>
      <w:kern w:val="44"/>
      <w:sz w:val="36"/>
      <w:szCs w:val="32"/>
    </w:rPr>
  </w:style>
  <w:style w:type="paragraph" w:customStyle="1" w:styleId="29">
    <w:name w:val="_Style 27"/>
    <w:basedOn w:val="1"/>
    <w:qFormat/>
    <w:uiPriority w:val="0"/>
    <w:rPr>
      <w:sz w:val="28"/>
      <w:szCs w:val="28"/>
    </w:rPr>
  </w:style>
  <w:style w:type="character" w:customStyle="1" w:styleId="30">
    <w:name w:val="Char Char"/>
    <w:qFormat/>
    <w:locked/>
    <w:uiPriority w:val="0"/>
    <w:rPr>
      <w:rFonts w:ascii="方正小标宋_GBK" w:eastAsia="方正小标宋_GBK"/>
      <w:b/>
      <w:kern w:val="44"/>
      <w:sz w:val="36"/>
      <w:szCs w:val="32"/>
      <w:lang w:bidi="ar-SA"/>
    </w:rPr>
  </w:style>
  <w:style w:type="character" w:customStyle="1" w:styleId="31">
    <w:name w:val="标题 Char"/>
    <w:qFormat/>
    <w:locked/>
    <w:uiPriority w:val="0"/>
    <w:rPr>
      <w:rFonts w:ascii="方正小标宋_GBK" w:eastAsia="方正小标宋_GBK"/>
      <w:b/>
      <w:kern w:val="44"/>
      <w:sz w:val="36"/>
      <w:szCs w:val="32"/>
      <w:lang w:bidi="ar-SA"/>
    </w:rPr>
  </w:style>
  <w:style w:type="paragraph" w:customStyle="1" w:styleId="32">
    <w:name w:val="样式 标题 3 Char + 四号2"/>
    <w:basedOn w:val="1"/>
    <w:qFormat/>
    <w:uiPriority w:val="99"/>
    <w:pPr>
      <w:keepNext/>
      <w:keepLines/>
      <w:spacing w:line="360" w:lineRule="auto"/>
    </w:pPr>
    <w:rPr>
      <w:rFonts w:cs="宋体"/>
      <w:b/>
      <w:sz w:val="28"/>
      <w:szCs w:val="28"/>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NormalCharacter"/>
    <w:qFormat/>
    <w:uiPriority w:val="99"/>
    <w:rPr>
      <w:rFonts w:ascii="Times New Roman" w:hAnsi="Times New Roman" w:eastAsia="宋体"/>
    </w:rPr>
  </w:style>
  <w:style w:type="paragraph" w:customStyle="1" w:styleId="35">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2519</Words>
  <Characters>2651</Characters>
  <Lines>4</Lines>
  <Paragraphs>6</Paragraphs>
  <TotalTime>8</TotalTime>
  <ScaleCrop>false</ScaleCrop>
  <LinksUpToDate>false</LinksUpToDate>
  <CharactersWithSpaces>2682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2025-12-31T07:19:00Z</cp:lastPrinted>
  <dcterms:modified xsi:type="dcterms:W3CDTF">2026-01-21T01:59:29Z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