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B1F6">
      <w:pPr>
        <w:jc w:val="center"/>
        <w:rPr>
          <w:rFonts w:ascii="华文中宋" w:hAnsi="华文中宋" w:eastAsia="华文中宋"/>
          <w:color w:val="FF0000"/>
          <w:spacing w:val="-20"/>
          <w:sz w:val="18"/>
          <w:szCs w:val="18"/>
        </w:rPr>
      </w:pPr>
    </w:p>
    <w:p w14:paraId="5030512D">
      <w:pPr>
        <w:jc w:val="center"/>
        <w:rPr>
          <w:rFonts w:ascii="华文中宋" w:hAnsi="华文中宋" w:eastAsia="华文中宋"/>
          <w:color w:val="FF0000"/>
          <w:spacing w:val="-20"/>
          <w:sz w:val="18"/>
          <w:szCs w:val="18"/>
        </w:rPr>
      </w:pPr>
    </w:p>
    <w:p w14:paraId="28B4E1BA">
      <w:pPr>
        <w:jc w:val="center"/>
        <w:rPr>
          <w:rFonts w:ascii="华文中宋" w:hAnsi="华文中宋" w:eastAsia="华文中宋"/>
          <w:color w:val="FF0000"/>
          <w:spacing w:val="-20"/>
          <w:sz w:val="18"/>
          <w:szCs w:val="18"/>
        </w:rPr>
      </w:pPr>
    </w:p>
    <w:p w14:paraId="6E4C5617">
      <w:pPr>
        <w:jc w:val="center"/>
        <w:rPr>
          <w:rFonts w:ascii="华文中宋" w:hAnsi="华文中宋" w:eastAsia="华文中宋"/>
          <w:color w:val="FF0000"/>
          <w:spacing w:val="-20"/>
          <w:sz w:val="18"/>
          <w:szCs w:val="18"/>
        </w:rPr>
      </w:pPr>
    </w:p>
    <w:p w14:paraId="60AC1397">
      <w:pPr>
        <w:jc w:val="center"/>
        <w:rPr>
          <w:rFonts w:ascii="华文中宋" w:hAnsi="华文中宋" w:eastAsia="华文中宋"/>
          <w:color w:val="FF0000"/>
          <w:spacing w:val="-20"/>
          <w:sz w:val="18"/>
          <w:szCs w:val="18"/>
        </w:rPr>
      </w:pPr>
    </w:p>
    <w:p w14:paraId="01F69EF1">
      <w:pPr>
        <w:jc w:val="center"/>
        <w:rPr>
          <w:rFonts w:ascii="华文中宋" w:hAnsi="华文中宋" w:eastAsia="华文中宋"/>
          <w:color w:val="FF0000"/>
          <w:spacing w:val="-20"/>
          <w:sz w:val="18"/>
          <w:szCs w:val="18"/>
        </w:rPr>
      </w:pPr>
    </w:p>
    <w:p w14:paraId="3DA09CA7">
      <w:pPr>
        <w:jc w:val="center"/>
        <w:rPr>
          <w:rFonts w:ascii="华文中宋" w:hAnsi="华文中宋" w:eastAsia="华文中宋"/>
          <w:color w:val="FF0000"/>
          <w:spacing w:val="-20"/>
          <w:sz w:val="18"/>
          <w:szCs w:val="18"/>
        </w:rPr>
      </w:pPr>
    </w:p>
    <w:p w14:paraId="10C93A25">
      <w:pPr>
        <w:jc w:val="center"/>
        <w:rPr>
          <w:rFonts w:ascii="华文中宋" w:hAnsi="华文中宋" w:eastAsia="华文中宋"/>
          <w:color w:val="FF0000"/>
          <w:spacing w:val="-20"/>
          <w:sz w:val="18"/>
          <w:szCs w:val="18"/>
        </w:rPr>
      </w:pPr>
    </w:p>
    <w:p w14:paraId="581C1B5D">
      <w:pPr>
        <w:rPr>
          <w:rFonts w:ascii="华文中宋" w:hAnsi="华文中宋" w:eastAsia="华文中宋"/>
          <w:color w:val="FF0000"/>
          <w:spacing w:val="-20"/>
          <w:sz w:val="18"/>
          <w:szCs w:val="18"/>
        </w:rPr>
      </w:pPr>
    </w:p>
    <w:p w14:paraId="71993513">
      <w:pPr>
        <w:jc w:val="center"/>
        <w:rPr>
          <w:rFonts w:ascii="华文中宋" w:hAnsi="华文中宋" w:eastAsia="华文中宋"/>
          <w:color w:val="FF0000"/>
          <w:spacing w:val="-20"/>
          <w:sz w:val="18"/>
          <w:szCs w:val="18"/>
        </w:rPr>
      </w:pPr>
    </w:p>
    <w:p w14:paraId="670CBA8D">
      <w:pPr>
        <w:jc w:val="center"/>
        <w:rPr>
          <w:rFonts w:ascii="华文中宋" w:hAnsi="华文中宋" w:eastAsia="华文中宋"/>
          <w:color w:val="FF0000"/>
          <w:spacing w:val="-20"/>
          <w:sz w:val="18"/>
          <w:szCs w:val="18"/>
        </w:rPr>
      </w:pPr>
    </w:p>
    <w:p w14:paraId="008F8B76">
      <w:pPr>
        <w:rPr>
          <w:rFonts w:ascii="华文中宋" w:hAnsi="华文中宋" w:eastAsia="华文中宋"/>
          <w:color w:val="FF0000"/>
          <w:spacing w:val="-20"/>
          <w:sz w:val="18"/>
          <w:szCs w:val="18"/>
        </w:rPr>
      </w:pPr>
    </w:p>
    <w:p w14:paraId="66FA0E12">
      <w:pPr>
        <w:jc w:val="center"/>
        <w:rPr>
          <w:rFonts w:ascii="华文中宋" w:hAnsi="华文中宋" w:eastAsia="华文中宋"/>
          <w:color w:val="FF0000"/>
          <w:spacing w:val="-20"/>
          <w:sz w:val="18"/>
          <w:szCs w:val="18"/>
        </w:rPr>
      </w:pPr>
    </w:p>
    <w:p w14:paraId="45DDFCB5">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6164BC5B">
        <w:tc>
          <w:tcPr>
            <w:tcW w:w="8820" w:type="dxa"/>
          </w:tcPr>
          <w:p w14:paraId="1A4FF3F5">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25</w:t>
            </w:r>
            <w:r>
              <w:rPr>
                <w:rFonts w:ascii="仿宋_GB2312" w:hAnsi="华文中宋" w:eastAsia="仿宋_GB2312"/>
                <w:sz w:val="32"/>
                <w:szCs w:val="32"/>
              </w:rPr>
              <w:t>〕</w:t>
            </w:r>
            <w:r>
              <w:rPr>
                <w:rFonts w:hint="eastAsia" w:ascii="仿宋_GB2312" w:hAnsi="华文中宋" w:eastAsia="仿宋_GB2312"/>
                <w:sz w:val="32"/>
                <w:szCs w:val="32"/>
                <w:lang w:val="en-US" w:eastAsia="zh-CN"/>
              </w:rPr>
              <w:t>80</w:t>
            </w:r>
            <w:r>
              <w:rPr>
                <w:rFonts w:ascii="仿宋_GB2312" w:hAnsi="华文中宋" w:eastAsia="仿宋_GB2312"/>
                <w:sz w:val="32"/>
                <w:szCs w:val="32"/>
              </w:rPr>
              <w:t>号</w:t>
            </w:r>
          </w:p>
        </w:tc>
      </w:tr>
    </w:tbl>
    <w:p w14:paraId="191A1B36">
      <w:pPr>
        <w:widowControl/>
        <w:snapToGrid w:val="0"/>
        <w:spacing w:line="600" w:lineRule="exact"/>
        <w:ind w:left="-141" w:leftChars="-67" w:right="-197" w:rightChars="-94"/>
        <w:jc w:val="center"/>
        <w:rPr>
          <w:rFonts w:ascii="仿宋_GB2312" w:hAnsi="华文中宋" w:eastAsia="仿宋_GB2312"/>
          <w:sz w:val="32"/>
          <w:szCs w:val="32"/>
        </w:rPr>
      </w:pPr>
    </w:p>
    <w:p w14:paraId="3D2B430B">
      <w:pPr>
        <w:keepNext w:val="0"/>
        <w:keepLines w:val="0"/>
        <w:widowControl/>
        <w:suppressLineNumbers w:val="0"/>
        <w:jc w:val="center"/>
        <w:rPr>
          <w:rFonts w:ascii="方正小标宋简体" w:hAnsi="仿宋"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玉林市发展和改革委员会关于</w:t>
      </w:r>
      <w:r>
        <w:rPr>
          <w:rFonts w:hint="eastAsia" w:ascii="方正小标宋简体" w:hAnsi="方正小标宋简体" w:eastAsia="方正小标宋简体" w:cs="方正小标宋简体"/>
          <w:color w:val="000000"/>
          <w:kern w:val="0"/>
          <w:sz w:val="44"/>
          <w:szCs w:val="44"/>
          <w:lang w:val="en-US" w:eastAsia="zh-CN" w:bidi="ar"/>
        </w:rPr>
        <w:t>华基兴业共享储能电站项目220千伏送出线路工程</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核准</w:t>
      </w:r>
      <w:r>
        <w:rPr>
          <w:rFonts w:hint="eastAsia" w:ascii="方正小标宋简体" w:hAnsi="仿宋" w:eastAsia="方正小标宋简体"/>
          <w:color w:val="000000" w:themeColor="text1"/>
          <w:kern w:val="0"/>
          <w:sz w:val="44"/>
          <w:szCs w:val="44"/>
          <w14:textFill>
            <w14:solidFill>
              <w14:schemeClr w14:val="tx1"/>
            </w14:solidFill>
          </w14:textFill>
        </w:rPr>
        <w:t>的批复</w:t>
      </w:r>
    </w:p>
    <w:p w14:paraId="1F460B3D">
      <w:pPr>
        <w:widowControl/>
        <w:spacing w:line="560" w:lineRule="exact"/>
        <w:jc w:val="left"/>
        <w:rPr>
          <w:rFonts w:ascii="仿宋_GB2312" w:hAnsi="宋体" w:eastAsia="仿宋_GB2312" w:cs="宋体"/>
          <w:kern w:val="0"/>
          <w:sz w:val="32"/>
          <w:szCs w:val="32"/>
        </w:rPr>
      </w:pPr>
    </w:p>
    <w:p w14:paraId="1C30CB95">
      <w:pPr>
        <w:adjustRightInd w:val="0"/>
        <w:snapToGrid w:val="0"/>
        <w:spacing w:line="640" w:lineRule="exact"/>
        <w:ind w:right="1280"/>
        <w:rPr>
          <w:rFonts w:ascii="仿宋_GB2312" w:eastAsia="仿宋_GB2312"/>
          <w:sz w:val="32"/>
          <w:szCs w:val="32"/>
        </w:rPr>
      </w:pPr>
      <w:r>
        <w:rPr>
          <w:rFonts w:hint="eastAsia" w:ascii="仿宋_GB2312" w:eastAsia="仿宋_GB2312"/>
          <w:snapToGrid w:val="0"/>
          <w:color w:val="000000"/>
          <w:kern w:val="0"/>
          <w:sz w:val="32"/>
          <w:szCs w:val="32"/>
          <w:lang w:eastAsia="zh-CN"/>
        </w:rPr>
        <w:t>兴业县发展和改革</w:t>
      </w:r>
      <w:r>
        <w:rPr>
          <w:rFonts w:hint="eastAsia" w:ascii="仿宋_GB2312" w:eastAsia="仿宋_GB2312"/>
          <w:snapToGrid w:val="0"/>
          <w:color w:val="000000"/>
          <w:kern w:val="0"/>
          <w:sz w:val="32"/>
          <w:szCs w:val="32"/>
        </w:rPr>
        <w:t>局：</w:t>
      </w:r>
    </w:p>
    <w:p w14:paraId="21D49014">
      <w:pPr>
        <w:keepNext w:val="0"/>
        <w:keepLines w:val="0"/>
        <w:widowControl/>
        <w:suppressLineNumbers w:val="0"/>
        <w:jc w:val="left"/>
        <w:rPr>
          <w:rFonts w:ascii="仿宋_GB2312" w:eastAsia="仿宋_GB2312"/>
          <w:bCs/>
          <w:sz w:val="32"/>
          <w:szCs w:val="32"/>
        </w:rPr>
      </w:pPr>
      <w:r>
        <w:rPr>
          <w:rFonts w:hint="eastAsia" w:ascii="仿宋_GB2312" w:eastAsia="仿宋_GB2312"/>
          <w:sz w:val="32"/>
          <w:szCs w:val="32"/>
          <w:lang w:eastAsia="zh-CN"/>
        </w:rPr>
        <w:t>　　</w:t>
      </w:r>
      <w:r>
        <w:rPr>
          <w:rFonts w:hint="eastAsia" w:ascii="仿宋_GB2312" w:eastAsia="仿宋_GB2312"/>
          <w:sz w:val="32"/>
          <w:szCs w:val="32"/>
        </w:rPr>
        <w:t>报来《</w:t>
      </w:r>
      <w:r>
        <w:rPr>
          <w:rFonts w:hint="eastAsia" w:ascii="仿宋_GB2312" w:eastAsia="仿宋_GB2312"/>
          <w:snapToGrid w:val="0"/>
          <w:color w:val="000000"/>
          <w:kern w:val="0"/>
          <w:sz w:val="32"/>
          <w:szCs w:val="32"/>
          <w:lang w:eastAsia="zh-CN"/>
        </w:rPr>
        <w:t>关于申请</w:t>
      </w:r>
      <w:r>
        <w:rPr>
          <w:rFonts w:hint="eastAsia" w:ascii="仿宋_GB2312" w:hAnsi="宋体" w:eastAsia="仿宋_GB2312" w:cs="仿宋_GB2312"/>
          <w:color w:val="000000"/>
          <w:kern w:val="0"/>
          <w:sz w:val="31"/>
          <w:szCs w:val="31"/>
          <w:lang w:val="en-US" w:eastAsia="zh-CN" w:bidi="ar"/>
        </w:rPr>
        <w:t>华基兴业共享储能电站项目220KV送出线路工程</w:t>
      </w:r>
      <w:r>
        <w:rPr>
          <w:rFonts w:hint="eastAsia" w:ascii="仿宋_GB2312" w:eastAsia="仿宋_GB2312"/>
          <w:snapToGrid w:val="0"/>
          <w:color w:val="000000"/>
          <w:kern w:val="0"/>
          <w:sz w:val="32"/>
          <w:szCs w:val="32"/>
          <w:lang w:eastAsia="zh-CN"/>
        </w:rPr>
        <w:t>核准</w:t>
      </w:r>
      <w:r>
        <w:rPr>
          <w:rFonts w:hint="eastAsia" w:ascii="仿宋_GB2312" w:eastAsia="仿宋_GB2312"/>
          <w:sz w:val="32"/>
          <w:szCs w:val="32"/>
        </w:rPr>
        <w:t>的请示》（</w:t>
      </w:r>
      <w:r>
        <w:rPr>
          <w:rFonts w:hint="eastAsia" w:ascii="仿宋_GB2312" w:eastAsia="仿宋_GB2312"/>
          <w:sz w:val="32"/>
          <w:szCs w:val="32"/>
          <w:lang w:eastAsia="zh-CN"/>
        </w:rPr>
        <w:t>兴发改报</w:t>
      </w:r>
      <w:r>
        <w:rPr>
          <w:rFonts w:hint="eastAsia" w:ascii="仿宋_GB2312" w:eastAsia="仿宋_GB2312"/>
          <w:sz w:val="32"/>
          <w:szCs w:val="32"/>
        </w:rPr>
        <w:t>〔2025〕</w:t>
      </w:r>
      <w:r>
        <w:rPr>
          <w:rFonts w:hint="eastAsia" w:ascii="仿宋_GB2312" w:eastAsia="仿宋_GB2312"/>
          <w:sz w:val="32"/>
          <w:szCs w:val="32"/>
          <w:lang w:val="en-US" w:eastAsia="zh-CN"/>
        </w:rPr>
        <w:t>68</w:t>
      </w:r>
      <w:r>
        <w:rPr>
          <w:rFonts w:hint="eastAsia" w:ascii="仿宋_GB2312" w:eastAsia="仿宋_GB2312"/>
          <w:sz w:val="32"/>
          <w:szCs w:val="32"/>
        </w:rPr>
        <w:t>号）及相关材料收悉。经研究，现将该项目核准事项批复如下：</w:t>
      </w:r>
    </w:p>
    <w:p w14:paraId="3FF19E6D">
      <w:pPr>
        <w:keepNext w:val="0"/>
        <w:keepLines w:val="0"/>
        <w:widowControl/>
        <w:numPr>
          <w:ilvl w:val="0"/>
          <w:numId w:val="1"/>
        </w:numPr>
        <w:suppressLineNumbers w:val="0"/>
        <w:ind w:left="640" w:leftChars="0" w:firstLine="0" w:firstLine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为改善兴业县电源结构，满足电网电力负荷增长要求，</w:t>
      </w:r>
    </w:p>
    <w:p w14:paraId="125812F7">
      <w:pPr>
        <w:keepNext w:val="0"/>
        <w:keepLines w:val="0"/>
        <w:widowControl/>
        <w:numPr>
          <w:ilvl w:val="0"/>
          <w:numId w:val="0"/>
        </w:numPr>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解决华基兴业共享储能电站项目电力送出需求，</w:t>
      </w:r>
      <w:r>
        <w:rPr>
          <w:rFonts w:hint="eastAsia" w:ascii="仿宋_GB2312" w:eastAsia="仿宋_GB2312"/>
          <w:sz w:val="32"/>
          <w:szCs w:val="32"/>
        </w:rPr>
        <w:t>依据《行政许可法》《企业投资项目核准和备案管理条例》《企业投资项目核准和备案管理办法》，原则同意建设</w:t>
      </w:r>
      <w:r>
        <w:rPr>
          <w:rFonts w:hint="eastAsia" w:ascii="仿宋_GB2312" w:hAnsi="宋体" w:eastAsia="仿宋_GB2312" w:cs="仿宋_GB2312"/>
          <w:color w:val="000000"/>
          <w:kern w:val="0"/>
          <w:sz w:val="31"/>
          <w:szCs w:val="31"/>
          <w:lang w:val="en-US" w:eastAsia="zh-CN" w:bidi="ar"/>
        </w:rPr>
        <w:t>华基兴业共享储能电站项目220KV送出线路工程。</w:t>
      </w:r>
    </w:p>
    <w:p w14:paraId="3281FFCE">
      <w:pPr>
        <w:keepNext w:val="0"/>
        <w:keepLines w:val="0"/>
        <w:widowControl/>
        <w:numPr>
          <w:ilvl w:val="0"/>
          <w:numId w:val="0"/>
        </w:numPr>
        <w:suppressLineNumbers w:val="0"/>
        <w:jc w:val="left"/>
        <w:rPr>
          <w:rFonts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二、项目代码：</w:t>
      </w:r>
      <w:r>
        <w:rPr>
          <w:rFonts w:hint="eastAsia" w:ascii="仿宋_GB2312" w:hAnsi="宋体" w:eastAsia="仿宋_GB2312" w:cs="仿宋_GB2312"/>
          <w:color w:val="000000"/>
          <w:kern w:val="0"/>
          <w:sz w:val="31"/>
          <w:szCs w:val="31"/>
          <w:lang w:val="en-US" w:eastAsia="zh-CN" w:bidi="ar"/>
        </w:rPr>
        <w:t>2508-450900-04-01-565458。</w:t>
      </w:r>
    </w:p>
    <w:p w14:paraId="1D0F3650">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三、项目建设单位：</w:t>
      </w:r>
      <w:r>
        <w:rPr>
          <w:rFonts w:hint="eastAsia" w:ascii="仿宋_GB2312" w:eastAsia="仿宋_GB2312"/>
          <w:snapToGrid w:val="0"/>
          <w:color w:val="000000"/>
          <w:kern w:val="0"/>
          <w:sz w:val="32"/>
          <w:szCs w:val="32"/>
        </w:rPr>
        <w:t>兴业华基储能有限公司</w:t>
      </w:r>
      <w:r>
        <w:rPr>
          <w:rFonts w:hint="eastAsia" w:ascii="仿宋_GB2312" w:hAnsi="仿宋_GB2312" w:eastAsia="仿宋_GB2312" w:cs="仿宋_GB2312"/>
          <w:snapToGrid w:val="0"/>
          <w:color w:val="000000"/>
          <w:kern w:val="0"/>
          <w:sz w:val="32"/>
          <w:szCs w:val="32"/>
        </w:rPr>
        <w:t>。</w:t>
      </w:r>
    </w:p>
    <w:p w14:paraId="417298AF">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四、项目建设地点：</w:t>
      </w:r>
      <w:r>
        <w:rPr>
          <w:rFonts w:hint="eastAsia" w:ascii="仿宋_GB2312" w:eastAsia="仿宋_GB2312"/>
          <w:kern w:val="0"/>
          <w:sz w:val="32"/>
          <w:szCs w:val="32"/>
        </w:rPr>
        <w:t>兴业县石南镇境内。</w:t>
      </w:r>
    </w:p>
    <w:p w14:paraId="458453EA">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五、项目建设规模及主要内容：</w:t>
      </w:r>
    </w:p>
    <w:p w14:paraId="1880DAF6">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bookmarkStart w:id="0" w:name="_Toc102_WPSOffice_Level3"/>
      <w:bookmarkStart w:id="1" w:name="_Toc14574"/>
      <w:bookmarkStart w:id="2" w:name="_Toc1995_WPSOffice_Level3"/>
      <w:bookmarkStart w:id="3" w:name="_Toc9123"/>
      <w:bookmarkStart w:id="4" w:name="_Toc29109_WPSOffice_Level3"/>
      <w:bookmarkStart w:id="5" w:name="_Toc103065871"/>
      <w:bookmarkStart w:id="6" w:name="_Toc6301"/>
      <w:r>
        <w:rPr>
          <w:rFonts w:hint="eastAsia" w:ascii="仿宋_GB2312" w:hAnsi="宋体" w:eastAsia="仿宋_GB2312" w:cs="仿宋_GB2312"/>
          <w:color w:val="000000"/>
          <w:kern w:val="0"/>
          <w:sz w:val="31"/>
          <w:szCs w:val="31"/>
          <w:lang w:val="en-US" w:eastAsia="zh-CN" w:bidi="ar"/>
        </w:rPr>
        <w:t>　　(一)线路工程。线路起自220KV华基储能站出线构架，终止于220KV兴业变电站进线构架，线路为架空+电缆混合线路。新建线路路径长度约0.65km。其中单回钢管杆段路径长度约0.5km，单回路电缆段路径长度约0.15km。架空导线截面采用2x300mm</w:t>
      </w:r>
      <w:r>
        <w:rPr>
          <w:rFonts w:hint="eastAsia" w:ascii="仿宋_GB2312" w:hAnsi="宋体" w:eastAsia="仿宋_GB2312" w:cs="仿宋_GB2312"/>
          <w:color w:val="000000"/>
          <w:kern w:val="0"/>
          <w:sz w:val="31"/>
          <w:szCs w:val="31"/>
          <w:vertAlign w:val="superscript"/>
          <w:lang w:val="en-US" w:eastAsia="zh-CN" w:bidi="ar"/>
        </w:rPr>
        <w:t>2</w:t>
      </w:r>
      <w:r>
        <w:rPr>
          <w:rFonts w:hint="eastAsia" w:ascii="仿宋_GB2312" w:hAnsi="宋体" w:eastAsia="仿宋_GB2312" w:cs="仿宋_GB2312"/>
          <w:color w:val="000000"/>
          <w:kern w:val="0"/>
          <w:sz w:val="31"/>
          <w:szCs w:val="31"/>
          <w:lang w:val="en-US" w:eastAsia="zh-CN" w:bidi="ar"/>
        </w:rPr>
        <w:t>，电缆截面采用1x2000mm</w:t>
      </w:r>
    </w:p>
    <w:p w14:paraId="4F79C548">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(二)光纤通信工程。本期拟沿本工程新建线路架设2根48芯光缆，其中架空段采用OPGW光缆，长度约为2x0.5km，电缆段采用非金属导引光缆，长度约2x0.15km。</w:t>
      </w:r>
    </w:p>
    <w:p w14:paraId="57118219">
      <w:pPr>
        <w:keepNext w:val="0"/>
        <w:keepLines w:val="0"/>
        <w:widowControl/>
        <w:suppressLineNumbers w:val="0"/>
        <w:jc w:val="left"/>
        <w:rPr>
          <w:rFonts w:ascii="仿宋_GB2312" w:hAnsi="宋体" w:eastAsia="仿宋_GB2312"/>
          <w:sz w:val="32"/>
          <w:szCs w:val="32"/>
        </w:rPr>
      </w:pPr>
      <w:r>
        <w:rPr>
          <w:rFonts w:hint="eastAsia" w:ascii="仿宋_GB2312" w:hAnsi="宋体" w:eastAsia="仿宋_GB2312" w:cs="宋体"/>
          <w:bCs/>
          <w:sz w:val="32"/>
          <w:szCs w:val="32"/>
          <w:lang w:eastAsia="zh-CN"/>
        </w:rPr>
        <w:t>　　</w:t>
      </w:r>
      <w:r>
        <w:rPr>
          <w:rFonts w:hint="eastAsia" w:ascii="仿宋_GB2312" w:hAnsi="宋体" w:eastAsia="仿宋_GB2312" w:cs="宋体"/>
          <w:bCs/>
          <w:sz w:val="32"/>
          <w:szCs w:val="32"/>
        </w:rPr>
        <w:t>六、投资估算和资金来源</w:t>
      </w:r>
      <w:bookmarkEnd w:id="0"/>
      <w:bookmarkEnd w:id="1"/>
      <w:bookmarkEnd w:id="2"/>
      <w:bookmarkEnd w:id="3"/>
      <w:bookmarkEnd w:id="4"/>
      <w:bookmarkEnd w:id="5"/>
      <w:bookmarkEnd w:id="6"/>
      <w:r>
        <w:rPr>
          <w:rFonts w:hint="eastAsia" w:ascii="仿宋_GB2312" w:hAnsi="宋体" w:eastAsia="仿宋_GB2312" w:cs="宋体"/>
          <w:bCs/>
          <w:sz w:val="32"/>
          <w:szCs w:val="32"/>
        </w:rPr>
        <w:t>：</w:t>
      </w:r>
      <w:r>
        <w:rPr>
          <w:rFonts w:hint="eastAsia" w:ascii="仿宋_GB2312" w:hAnsi="宋体" w:eastAsia="仿宋_GB2312" w:cs="宋体"/>
          <w:color w:val="000000"/>
          <w:kern w:val="0"/>
          <w:sz w:val="32"/>
          <w:szCs w:val="32"/>
        </w:rPr>
        <w:t>本工程总投资约634万元，其中项目单位以自有资金出资127万元(占动态投资的 20%)，其余507万元</w:t>
      </w:r>
      <w:r>
        <w:rPr>
          <w:rFonts w:hint="eastAsia" w:ascii="仿宋_GB2312" w:hAnsi="宋体" w:eastAsia="仿宋_GB2312" w:cs="宋体"/>
          <w:color w:val="000000"/>
          <w:kern w:val="0"/>
          <w:sz w:val="32"/>
          <w:szCs w:val="32"/>
          <w:lang w:eastAsia="zh-CN"/>
        </w:rPr>
        <w:t>通过</w:t>
      </w:r>
      <w:r>
        <w:rPr>
          <w:rFonts w:hint="eastAsia" w:ascii="仿宋_GB2312" w:hAnsi="宋体" w:eastAsia="仿宋_GB2312" w:cs="宋体"/>
          <w:color w:val="000000"/>
          <w:kern w:val="0"/>
          <w:sz w:val="32"/>
          <w:szCs w:val="32"/>
        </w:rPr>
        <w:t>银行贷款等方式解决。</w:t>
      </w:r>
    </w:p>
    <w:p w14:paraId="0B83593D">
      <w:pPr>
        <w:spacing w:line="640" w:lineRule="exact"/>
        <w:ind w:firstLine="640" w:firstLineChars="200"/>
        <w:rPr>
          <w:rFonts w:ascii="仿宋_GB2312" w:hAnsi="Arial" w:eastAsia="仿宋_GB2312" w:cs="Arial"/>
          <w:color w:val="525353"/>
          <w:kern w:val="0"/>
          <w:sz w:val="32"/>
          <w:szCs w:val="32"/>
        </w:rPr>
      </w:pPr>
      <w:r>
        <w:rPr>
          <w:rFonts w:hint="eastAsia" w:ascii="仿宋_GB2312" w:eastAsia="仿宋_GB2312"/>
          <w:sz w:val="32"/>
          <w:szCs w:val="32"/>
        </w:rPr>
        <w:t>七、</w:t>
      </w:r>
      <w:r>
        <w:rPr>
          <w:rFonts w:hint="eastAsia" w:ascii="仿宋_GB2312" w:hAnsi="宋体" w:eastAsia="仿宋_GB2312"/>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eastAsia="仿宋_GB2312"/>
          <w:sz w:val="32"/>
          <w:szCs w:val="32"/>
        </w:rPr>
        <w:t>。</w:t>
      </w:r>
    </w:p>
    <w:p w14:paraId="155547FE">
      <w:pPr>
        <w:spacing w:line="640" w:lineRule="exact"/>
        <w:ind w:firstLine="640" w:firstLineChars="200"/>
        <w:rPr>
          <w:rFonts w:ascii="仿宋_GB2312" w:eastAsia="仿宋_GB2312"/>
          <w:sz w:val="32"/>
          <w:szCs w:val="32"/>
        </w:rPr>
      </w:pPr>
      <w:r>
        <w:rPr>
          <w:rFonts w:hint="eastAsia" w:ascii="仿宋_GB2312" w:eastAsia="仿宋_GB2312"/>
          <w:sz w:val="32"/>
          <w:szCs w:val="32"/>
        </w:rPr>
        <w:t>八、请项目建设单位严格执行国家及自治区有关招标投标的规定，按照本批复所附《招标事项核准意见表》的要求，依法开展项目招标工作。</w:t>
      </w:r>
    </w:p>
    <w:p w14:paraId="55CDD9B4">
      <w:pPr>
        <w:keepNext w:val="0"/>
        <w:keepLines w:val="0"/>
        <w:widowControl/>
        <w:suppressLineNumbers w:val="0"/>
        <w:jc w:val="left"/>
        <w:rPr>
          <w:rFonts w:ascii="宋体" w:hAnsi="宋体" w:cs="宋体"/>
          <w:kern w:val="0"/>
          <w:sz w:val="24"/>
        </w:rPr>
      </w:pPr>
      <w:r>
        <w:rPr>
          <w:rFonts w:hint="eastAsia" w:ascii="仿宋_GB2312" w:eastAsia="仿宋_GB2312"/>
          <w:color w:val="000000"/>
          <w:sz w:val="32"/>
          <w:szCs w:val="32"/>
          <w:lang w:eastAsia="zh-CN"/>
        </w:rPr>
        <w:t>　　</w:t>
      </w:r>
      <w:r>
        <w:rPr>
          <w:rFonts w:hint="eastAsia" w:ascii="仿宋_GB2312" w:eastAsia="仿宋_GB2312"/>
          <w:color w:val="000000"/>
          <w:sz w:val="32"/>
          <w:szCs w:val="32"/>
        </w:rPr>
        <w:t>九、按照相关法律、行政法规的规定，核准项目的相关依据是</w:t>
      </w:r>
      <w:r>
        <w:rPr>
          <w:rFonts w:hint="eastAsia" w:ascii="仿宋_GB2312" w:hAnsi="宋体" w:eastAsia="仿宋_GB2312" w:cs="仿宋_GB2312"/>
          <w:color w:val="000000"/>
          <w:kern w:val="0"/>
          <w:sz w:val="31"/>
          <w:szCs w:val="31"/>
          <w:lang w:val="en-US" w:eastAsia="zh-CN" w:bidi="ar"/>
        </w:rPr>
        <w:t>《兴业县人民政府关于华基兴业共享储能电站项目送出工程220KV线路路径意见的复函》《广西电网有限责任公司关于华基兴业共享储能电站项目接入系统专题研究有关意见的函》（桂电函〔2025〕135号）及《华基兴业共享储能电站项目备案证明》等文件。</w:t>
      </w:r>
    </w:p>
    <w:p w14:paraId="73CB0F24">
      <w:pPr>
        <w:spacing w:line="64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hAnsi="宋体" w:eastAsia="仿宋_GB2312"/>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eastAsia="仿宋_GB2312"/>
          <w:sz w:val="32"/>
          <w:szCs w:val="32"/>
        </w:rPr>
        <w:t>。</w:t>
      </w:r>
    </w:p>
    <w:p w14:paraId="2FB49069">
      <w:pPr>
        <w:spacing w:line="640" w:lineRule="exact"/>
        <w:ind w:firstLine="640" w:firstLineChars="200"/>
        <w:rPr>
          <w:rFonts w:ascii="仿宋_GB2312" w:hAnsi="宋体" w:eastAsia="仿宋_GB2312"/>
          <w:sz w:val="32"/>
          <w:szCs w:val="32"/>
        </w:rPr>
      </w:pPr>
      <w:r>
        <w:rPr>
          <w:rFonts w:hint="eastAsia" w:ascii="仿宋_GB2312" w:eastAsia="仿宋_GB2312"/>
          <w:sz w:val="32"/>
          <w:szCs w:val="32"/>
        </w:rPr>
        <w:t>十一、</w:t>
      </w:r>
      <w:r>
        <w:rPr>
          <w:rFonts w:hint="eastAsia" w:ascii="仿宋_GB2312" w:hAnsi="宋体" w:eastAsia="仿宋_GB2312"/>
          <w:sz w:val="32"/>
          <w:szCs w:val="32"/>
        </w:rPr>
        <w:t>请项目建设单位在项目开工建设前，依据相关法律、行政法规规定办理规划许可、土地使用、资源利用、安全生产、环评等相关报建手续。</w:t>
      </w:r>
    </w:p>
    <w:p w14:paraId="720C681C">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eastAsia="仿宋_GB2312"/>
          <w:sz w:val="32"/>
          <w:szCs w:val="32"/>
        </w:rPr>
        <w:t>《国家能源局关于进一步明确电力建设工程质量监督机构业务工作的通知》（国能函安全〔2020〕39号）</w:t>
      </w:r>
      <w:r>
        <w:rPr>
          <w:rFonts w:hint="eastAsia" w:ascii="仿宋_GB2312" w:hAnsi="宋体" w:eastAsia="仿宋_GB2312"/>
          <w:sz w:val="32"/>
          <w:szCs w:val="32"/>
        </w:rPr>
        <w:t>和国家能源局有关规定，及时向电力质监机构办理质量监督注册手续、自觉接受质量监督检查。</w:t>
      </w:r>
    </w:p>
    <w:p w14:paraId="38EF5D43">
      <w:pPr>
        <w:spacing w:line="640" w:lineRule="exact"/>
        <w:ind w:firstLine="640" w:firstLineChars="200"/>
        <w:rPr>
          <w:rFonts w:ascii="仿宋_GB2312" w:eastAsia="仿宋_GB2312"/>
          <w:sz w:val="32"/>
          <w:szCs w:val="32"/>
        </w:rPr>
      </w:pPr>
      <w:r>
        <w:rPr>
          <w:rFonts w:hint="eastAsia" w:ascii="仿宋_GB2312" w:hAnsi="宋体" w:eastAsia="仿宋_GB2312"/>
          <w:sz w:val="32"/>
          <w:szCs w:val="32"/>
        </w:rPr>
        <w:t>十三、</w:t>
      </w:r>
      <w:r>
        <w:rPr>
          <w:rFonts w:hint="eastAsia" w:ascii="仿宋_GB2312" w:eastAsia="仿宋_GB2312"/>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6DC78EBE">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十四、</w:t>
      </w:r>
      <w:r>
        <w:rPr>
          <w:rFonts w:hint="eastAsia" w:ascii="仿宋_GB2312" w:hAnsi="宋体" w:eastAsia="仿宋_GB2312"/>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eastAsia="仿宋_GB2312"/>
          <w:sz w:val="32"/>
          <w:szCs w:val="32"/>
        </w:rPr>
        <w:t>。</w:t>
      </w:r>
    </w:p>
    <w:p w14:paraId="290BC972">
      <w:pPr>
        <w:spacing w:line="640" w:lineRule="exact"/>
        <w:ind w:left="319" w:leftChars="152" w:firstLine="640" w:firstLineChars="200"/>
        <w:rPr>
          <w:rFonts w:ascii="仿宋_GB2312" w:hAnsi="黑体" w:eastAsia="仿宋_GB2312"/>
          <w:sz w:val="32"/>
          <w:szCs w:val="32"/>
        </w:rPr>
      </w:pPr>
    </w:p>
    <w:p w14:paraId="2FF426D0">
      <w:pPr>
        <w:spacing w:line="640" w:lineRule="exact"/>
        <w:ind w:left="319" w:leftChars="152" w:firstLine="640" w:firstLineChars="200"/>
        <w:rPr>
          <w:rFonts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招标事项核准意见表</w:t>
      </w:r>
    </w:p>
    <w:p w14:paraId="3AC8D9E9">
      <w:pPr>
        <w:spacing w:line="640" w:lineRule="exact"/>
        <w:ind w:left="319" w:leftChars="152" w:firstLine="1600" w:firstLineChars="5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电力项目安全管理和质量管控事项告知书</w:t>
      </w:r>
    </w:p>
    <w:p w14:paraId="32039409">
      <w:pPr>
        <w:spacing w:line="580" w:lineRule="exact"/>
        <w:ind w:firstLine="640" w:firstLineChars="200"/>
        <w:rPr>
          <w:rFonts w:ascii="仿宋_GB2312" w:eastAsia="仿宋_GB2312"/>
          <w:sz w:val="32"/>
          <w:szCs w:val="32"/>
        </w:rPr>
      </w:pPr>
    </w:p>
    <w:p w14:paraId="0ADE0E9C">
      <w:pPr>
        <w:spacing w:line="580" w:lineRule="exact"/>
        <w:rPr>
          <w:rFonts w:ascii="仿宋_GB2312" w:hAnsi="黑体" w:eastAsia="仿宋_GB2312"/>
          <w:sz w:val="32"/>
          <w:szCs w:val="32"/>
        </w:rPr>
      </w:pPr>
    </w:p>
    <w:p w14:paraId="32149C71">
      <w:pPr>
        <w:spacing w:line="580" w:lineRule="exact"/>
        <w:rPr>
          <w:rFonts w:ascii="仿宋_GB2312" w:hAnsi="黑体" w:eastAsia="仿宋_GB2312"/>
          <w:sz w:val="32"/>
          <w:szCs w:val="32"/>
        </w:rPr>
      </w:pPr>
    </w:p>
    <w:p w14:paraId="1436D30E">
      <w:pPr>
        <w:spacing w:line="580" w:lineRule="exact"/>
        <w:ind w:firstLine="3520" w:firstLineChars="1100"/>
        <w:rPr>
          <w:rFonts w:ascii="仿宋_GB2312" w:hAnsi="仿宋" w:eastAsia="仿宋_GB2312"/>
          <w:sz w:val="32"/>
          <w:szCs w:val="32"/>
        </w:rPr>
      </w:pPr>
      <w:r>
        <w:rPr>
          <w:rFonts w:hint="eastAsia" w:ascii="仿宋_GB2312" w:hAnsi="仿宋" w:eastAsia="仿宋_GB2312"/>
          <w:sz w:val="32"/>
          <w:szCs w:val="32"/>
        </w:rPr>
        <w:t>玉林市发展和改革委员会</w:t>
      </w:r>
    </w:p>
    <w:p w14:paraId="4FCCA154">
      <w:pPr>
        <w:pStyle w:val="30"/>
        <w:spacing w:line="580" w:lineRule="exact"/>
        <w:ind w:firstLine="4480" w:firstLineChars="1400"/>
        <w:jc w:val="both"/>
        <w:rPr>
          <w:rFonts w:eastAsia="仿宋_GB2312"/>
          <w:sz w:val="32"/>
          <w:szCs w:val="32"/>
        </w:rPr>
      </w:pPr>
      <w:r>
        <w:rPr>
          <w:rFonts w:hint="eastAsia" w:eastAsia="仿宋_GB2312"/>
          <w:sz w:val="32"/>
          <w:szCs w:val="32"/>
        </w:rPr>
        <w:t>2025年</w:t>
      </w:r>
      <w:r>
        <w:rPr>
          <w:rFonts w:hint="eastAsia" w:eastAsia="仿宋_GB2312"/>
          <w:sz w:val="32"/>
          <w:szCs w:val="32"/>
          <w:lang w:val="en-US" w:eastAsia="zh-CN"/>
        </w:rPr>
        <w:t>9</w:t>
      </w:r>
      <w:r>
        <w:rPr>
          <w:rFonts w:hint="eastAsia" w:eastAsia="仿宋_GB2312"/>
          <w:sz w:val="32"/>
          <w:szCs w:val="32"/>
        </w:rPr>
        <w:t>月</w:t>
      </w:r>
      <w:r>
        <w:rPr>
          <w:rFonts w:hint="eastAsia" w:eastAsia="仿宋_GB2312"/>
          <w:sz w:val="32"/>
          <w:szCs w:val="32"/>
          <w:lang w:val="en-US" w:eastAsia="zh-CN"/>
        </w:rPr>
        <w:t>5</w:t>
      </w:r>
      <w:r>
        <w:rPr>
          <w:rFonts w:hint="eastAsia" w:eastAsia="仿宋_GB2312"/>
          <w:sz w:val="32"/>
          <w:szCs w:val="32"/>
        </w:rPr>
        <w:t>日</w:t>
      </w:r>
    </w:p>
    <w:p w14:paraId="246C456C">
      <w:pPr>
        <w:pStyle w:val="30"/>
        <w:spacing w:line="580" w:lineRule="exact"/>
        <w:jc w:val="both"/>
        <w:rPr>
          <w:rFonts w:eastAsia="仿宋_GB2312"/>
          <w:sz w:val="32"/>
          <w:szCs w:val="32"/>
        </w:rPr>
      </w:pPr>
    </w:p>
    <w:p w14:paraId="6807EABF">
      <w:pPr>
        <w:pStyle w:val="30"/>
        <w:spacing w:line="580" w:lineRule="exact"/>
        <w:jc w:val="both"/>
        <w:rPr>
          <w:rFonts w:eastAsia="仿宋_GB2312"/>
          <w:sz w:val="32"/>
          <w:szCs w:val="32"/>
        </w:rPr>
      </w:pPr>
    </w:p>
    <w:p w14:paraId="56B536CC">
      <w:pPr>
        <w:pStyle w:val="30"/>
        <w:spacing w:line="580" w:lineRule="exact"/>
        <w:jc w:val="both"/>
        <w:rPr>
          <w:rFonts w:eastAsia="仿宋_GB2312"/>
          <w:sz w:val="32"/>
          <w:szCs w:val="32"/>
        </w:rPr>
      </w:pPr>
    </w:p>
    <w:p w14:paraId="4FF8FEF2">
      <w:pPr>
        <w:pStyle w:val="30"/>
        <w:spacing w:line="580" w:lineRule="exact"/>
        <w:jc w:val="both"/>
        <w:rPr>
          <w:rFonts w:eastAsia="仿宋_GB2312"/>
          <w:sz w:val="32"/>
          <w:szCs w:val="32"/>
        </w:rPr>
      </w:pPr>
    </w:p>
    <w:p w14:paraId="1AC407C3">
      <w:pPr>
        <w:pStyle w:val="30"/>
        <w:spacing w:line="580" w:lineRule="exact"/>
        <w:jc w:val="both"/>
        <w:rPr>
          <w:rFonts w:eastAsia="仿宋_GB2312"/>
          <w:sz w:val="32"/>
          <w:szCs w:val="32"/>
        </w:rPr>
      </w:pPr>
    </w:p>
    <w:p w14:paraId="44A7AD2D">
      <w:pPr>
        <w:pStyle w:val="30"/>
        <w:spacing w:line="580" w:lineRule="exact"/>
        <w:jc w:val="both"/>
        <w:rPr>
          <w:rFonts w:eastAsia="仿宋_GB2312"/>
          <w:sz w:val="32"/>
          <w:szCs w:val="32"/>
        </w:rPr>
      </w:pPr>
    </w:p>
    <w:p w14:paraId="33CEDA1D">
      <w:pPr>
        <w:pStyle w:val="30"/>
        <w:spacing w:line="580" w:lineRule="exact"/>
        <w:jc w:val="both"/>
        <w:rPr>
          <w:rFonts w:eastAsia="仿宋_GB2312"/>
          <w:sz w:val="32"/>
          <w:szCs w:val="32"/>
        </w:rPr>
      </w:pPr>
    </w:p>
    <w:p w14:paraId="1855CD7D">
      <w:pPr>
        <w:pStyle w:val="30"/>
        <w:spacing w:line="580" w:lineRule="exact"/>
        <w:jc w:val="both"/>
        <w:rPr>
          <w:rFonts w:eastAsia="仿宋_GB2312"/>
          <w:sz w:val="32"/>
          <w:szCs w:val="32"/>
        </w:rPr>
      </w:pPr>
    </w:p>
    <w:p w14:paraId="051C2180">
      <w:pPr>
        <w:pStyle w:val="30"/>
        <w:spacing w:line="580" w:lineRule="exact"/>
        <w:jc w:val="both"/>
        <w:rPr>
          <w:rFonts w:eastAsia="仿宋_GB2312"/>
          <w:sz w:val="32"/>
          <w:szCs w:val="32"/>
        </w:rPr>
      </w:pPr>
    </w:p>
    <w:p w14:paraId="5550FD9A">
      <w:pPr>
        <w:pStyle w:val="30"/>
        <w:spacing w:line="580" w:lineRule="exact"/>
        <w:jc w:val="both"/>
        <w:rPr>
          <w:rFonts w:eastAsia="仿宋_GB2312"/>
          <w:sz w:val="32"/>
          <w:szCs w:val="32"/>
        </w:rPr>
      </w:pPr>
    </w:p>
    <w:p w14:paraId="7FC85A39">
      <w:pPr>
        <w:pStyle w:val="30"/>
        <w:spacing w:line="580" w:lineRule="exact"/>
        <w:jc w:val="both"/>
        <w:rPr>
          <w:rFonts w:eastAsia="仿宋_GB2312"/>
          <w:sz w:val="32"/>
          <w:szCs w:val="32"/>
        </w:rPr>
      </w:pPr>
    </w:p>
    <w:p w14:paraId="3894471D">
      <w:pPr>
        <w:pStyle w:val="30"/>
        <w:spacing w:line="500" w:lineRule="exact"/>
        <w:jc w:val="both"/>
        <w:rPr>
          <w:rFonts w:ascii="宋体" w:hAnsi="宋体"/>
        </w:rPr>
      </w:pPr>
    </w:p>
    <w:p w14:paraId="1D3A9FB8">
      <w:pPr>
        <w:pStyle w:val="30"/>
        <w:spacing w:line="500" w:lineRule="exact"/>
        <w:jc w:val="both"/>
        <w:rPr>
          <w:rFonts w:ascii="宋体" w:hAnsi="宋体"/>
        </w:rPr>
      </w:pPr>
    </w:p>
    <w:p w14:paraId="58AF6E57">
      <w:pPr>
        <w:pStyle w:val="30"/>
        <w:spacing w:line="500" w:lineRule="exact"/>
        <w:jc w:val="both"/>
        <w:rPr>
          <w:rFonts w:ascii="宋体" w:hAnsi="宋体"/>
        </w:rPr>
      </w:pPr>
    </w:p>
    <w:p w14:paraId="02FEBFE2">
      <w:pPr>
        <w:pStyle w:val="30"/>
        <w:spacing w:line="500" w:lineRule="exact"/>
        <w:jc w:val="both"/>
        <w:rPr>
          <w:rFonts w:ascii="宋体" w:hAnsi="宋体"/>
        </w:rPr>
      </w:pPr>
    </w:p>
    <w:p w14:paraId="1304DB9A">
      <w:pPr>
        <w:pStyle w:val="30"/>
        <w:spacing w:line="500" w:lineRule="exact"/>
        <w:jc w:val="both"/>
        <w:rPr>
          <w:rFonts w:ascii="宋体" w:hAnsi="宋体"/>
        </w:rPr>
      </w:pPr>
    </w:p>
    <w:p w14:paraId="5E8AB29F">
      <w:pPr>
        <w:pStyle w:val="30"/>
        <w:spacing w:line="500" w:lineRule="exact"/>
        <w:jc w:val="both"/>
        <w:rPr>
          <w:rFonts w:ascii="宋体" w:hAnsi="宋体"/>
        </w:rPr>
      </w:pPr>
    </w:p>
    <w:p w14:paraId="734896B1">
      <w:pPr>
        <w:pStyle w:val="30"/>
        <w:spacing w:line="500" w:lineRule="exact"/>
        <w:jc w:val="both"/>
        <w:rPr>
          <w:rFonts w:ascii="宋体" w:hAnsi="宋体"/>
        </w:rPr>
      </w:pPr>
    </w:p>
    <w:p w14:paraId="624A390B">
      <w:pPr>
        <w:pStyle w:val="30"/>
        <w:spacing w:line="500" w:lineRule="exact"/>
        <w:jc w:val="both"/>
        <w:rPr>
          <w:rFonts w:ascii="宋体" w:hAnsi="宋体"/>
        </w:rPr>
      </w:pPr>
    </w:p>
    <w:p w14:paraId="244450B4">
      <w:pPr>
        <w:pStyle w:val="30"/>
        <w:spacing w:line="500" w:lineRule="exact"/>
        <w:jc w:val="both"/>
        <w:rPr>
          <w:rFonts w:ascii="宋体" w:hAnsi="宋体"/>
        </w:rPr>
      </w:pPr>
    </w:p>
    <w:p w14:paraId="355702E5">
      <w:pPr>
        <w:pStyle w:val="30"/>
        <w:spacing w:line="500" w:lineRule="exact"/>
        <w:jc w:val="both"/>
        <w:rPr>
          <w:rFonts w:ascii="宋体" w:hAnsi="宋体"/>
        </w:rPr>
      </w:pPr>
    </w:p>
    <w:p w14:paraId="229D27C3">
      <w:pPr>
        <w:pStyle w:val="30"/>
        <w:spacing w:line="500" w:lineRule="exact"/>
        <w:jc w:val="both"/>
        <w:rPr>
          <w:rFonts w:ascii="宋体" w:hAnsi="宋体"/>
        </w:rPr>
      </w:pPr>
    </w:p>
    <w:p w14:paraId="2775839E">
      <w:pPr>
        <w:pStyle w:val="30"/>
        <w:spacing w:line="500" w:lineRule="exact"/>
        <w:jc w:val="both"/>
        <w:rPr>
          <w:rFonts w:ascii="宋体" w:hAnsi="宋体"/>
        </w:rPr>
      </w:pPr>
    </w:p>
    <w:p w14:paraId="7C819251">
      <w:pPr>
        <w:pStyle w:val="30"/>
        <w:spacing w:line="500" w:lineRule="exact"/>
        <w:jc w:val="both"/>
        <w:rPr>
          <w:rFonts w:ascii="宋体" w:hAnsi="宋体"/>
        </w:rPr>
      </w:pPr>
    </w:p>
    <w:p w14:paraId="35846B40">
      <w:pPr>
        <w:pStyle w:val="30"/>
        <w:spacing w:line="500" w:lineRule="exact"/>
        <w:jc w:val="both"/>
        <w:rPr>
          <w:rFonts w:ascii="宋体" w:hAnsi="宋体"/>
        </w:rPr>
      </w:pPr>
    </w:p>
    <w:p w14:paraId="19303A9C">
      <w:pPr>
        <w:pStyle w:val="30"/>
        <w:spacing w:line="500" w:lineRule="exact"/>
        <w:jc w:val="both"/>
        <w:rPr>
          <w:rFonts w:ascii="宋体" w:hAnsi="宋体"/>
        </w:rPr>
      </w:pPr>
    </w:p>
    <w:p w14:paraId="750CD794">
      <w:pPr>
        <w:pStyle w:val="30"/>
        <w:spacing w:line="500" w:lineRule="exact"/>
        <w:jc w:val="both"/>
        <w:rPr>
          <w:rFonts w:ascii="宋体" w:hAnsi="宋体"/>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2"/>
        <w:gridCol w:w="4920"/>
      </w:tblGrid>
      <w:tr w14:paraId="54E53C9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2361" w:type="pct"/>
          </w:tcPr>
          <w:p w14:paraId="5EF198DF">
            <w:pPr>
              <w:spacing w:line="460" w:lineRule="exact"/>
              <w:ind w:left="1121" w:leftChars="134" w:hanging="840" w:hangingChars="3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Pr>
          <w:p w14:paraId="12CD3023">
            <w:pPr>
              <w:spacing w:line="460" w:lineRule="exact"/>
              <w:ind w:left="1121" w:leftChars="134" w:hanging="840" w:hangingChars="300"/>
              <w:jc w:val="center"/>
              <w:rPr>
                <w:rFonts w:ascii="仿宋_GB2312" w:hAnsi="华文中宋" w:eastAsia="仿宋_GB2312"/>
                <w:sz w:val="28"/>
                <w:szCs w:val="28"/>
              </w:rPr>
            </w:pPr>
            <w:r>
              <w:rPr>
                <w:rFonts w:hint="eastAsia" w:ascii="仿宋_GB2312" w:hAnsi="华文中宋" w:eastAsia="仿宋_GB2312"/>
                <w:sz w:val="28"/>
                <w:szCs w:val="28"/>
              </w:rPr>
              <w:t>2025年</w:t>
            </w:r>
            <w:r>
              <w:rPr>
                <w:rFonts w:hint="eastAsia" w:ascii="仿宋_GB2312" w:hAnsi="华文中宋" w:eastAsia="仿宋_GB2312"/>
                <w:sz w:val="28"/>
                <w:szCs w:val="28"/>
                <w:lang w:val="en-US" w:eastAsia="zh-CN"/>
              </w:rPr>
              <w:t>9</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5</w:t>
            </w:r>
            <w:r>
              <w:rPr>
                <w:rFonts w:hint="eastAsia" w:ascii="仿宋_GB2312" w:hAnsi="华文中宋" w:eastAsia="仿宋_GB2312"/>
                <w:sz w:val="28"/>
                <w:szCs w:val="28"/>
              </w:rPr>
              <w:t>日印发</w:t>
            </w:r>
          </w:p>
        </w:tc>
      </w:tr>
    </w:tbl>
    <w:p w14:paraId="08BF6C68">
      <w:pPr>
        <w:spacing w:afterLines="100"/>
        <w:jc w:val="left"/>
        <w:rPr>
          <w:rFonts w:ascii="宋体" w:hAnsi="宋体"/>
          <w:sz w:val="28"/>
        </w:rPr>
      </w:pPr>
      <w:r>
        <w:rPr>
          <w:rFonts w:hint="eastAsia" w:ascii="宋体" w:hAnsi="宋体"/>
          <w:sz w:val="28"/>
        </w:rPr>
        <w:t>附件1</w:t>
      </w:r>
    </w:p>
    <w:p w14:paraId="367FA347">
      <w:pPr>
        <w:spacing w:afterLines="50"/>
        <w:jc w:val="center"/>
        <w:rPr>
          <w:rFonts w:ascii="方正小标宋_GBK" w:hAnsi="黑体" w:eastAsia="方正小标宋_GBK"/>
          <w:sz w:val="36"/>
          <w:szCs w:val="36"/>
        </w:rPr>
      </w:pPr>
      <w:r>
        <w:rPr>
          <w:rFonts w:hint="eastAsia" w:ascii="方正小标宋_GBK" w:hAnsi="黑体" w:eastAsia="方正小标宋_GBK"/>
          <w:sz w:val="36"/>
          <w:szCs w:val="36"/>
        </w:rPr>
        <w:t>招标事项核准意见表</w:t>
      </w:r>
    </w:p>
    <w:p w14:paraId="1B1046BB">
      <w:pPr>
        <w:rPr>
          <w:rFonts w:ascii="宋体" w:hAnsi="宋体"/>
          <w:sz w:val="24"/>
        </w:rPr>
      </w:pPr>
      <w:r>
        <w:rPr>
          <w:rFonts w:hint="eastAsia" w:ascii="宋体" w:hAnsi="宋体"/>
          <w:b/>
          <w:bCs/>
          <w:sz w:val="24"/>
        </w:rPr>
        <w:t>项目名称：</w:t>
      </w:r>
      <w:r>
        <w:rPr>
          <w:rFonts w:hint="eastAsia" w:ascii="宋体" w:hAnsi="宋体" w:cs="宋体"/>
          <w:color w:val="000000"/>
          <w:sz w:val="24"/>
        </w:rPr>
        <w:t>华基兴业共享储能电站项目220千伏送出线路工程</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b/>
                <w:sz w:val="24"/>
              </w:rPr>
            </w:pPr>
            <w:r>
              <w:rPr>
                <w:rFonts w:hint="eastAsia"/>
                <w:b/>
                <w:sz w:val="24"/>
              </w:rPr>
              <w:t>名称</w:t>
            </w:r>
          </w:p>
        </w:tc>
        <w:tc>
          <w:tcPr>
            <w:tcW w:w="2001" w:type="dxa"/>
            <w:gridSpan w:val="2"/>
            <w:vAlign w:val="center"/>
          </w:tcPr>
          <w:p w14:paraId="72A806D3">
            <w:pPr>
              <w:jc w:val="center"/>
              <w:rPr>
                <w:b/>
                <w:sz w:val="24"/>
              </w:rPr>
            </w:pPr>
            <w:r>
              <w:rPr>
                <w:rFonts w:hint="eastAsia"/>
                <w:b/>
                <w:sz w:val="24"/>
              </w:rPr>
              <w:t>招标范围</w:t>
            </w:r>
          </w:p>
        </w:tc>
        <w:tc>
          <w:tcPr>
            <w:tcW w:w="1788" w:type="dxa"/>
            <w:gridSpan w:val="2"/>
            <w:vAlign w:val="center"/>
          </w:tcPr>
          <w:p w14:paraId="37F727A0">
            <w:pPr>
              <w:jc w:val="center"/>
              <w:rPr>
                <w:b/>
                <w:sz w:val="24"/>
              </w:rPr>
            </w:pPr>
            <w:r>
              <w:rPr>
                <w:rFonts w:hint="eastAsia"/>
                <w:b/>
                <w:sz w:val="24"/>
              </w:rPr>
              <w:t>招标组织形式</w:t>
            </w:r>
          </w:p>
        </w:tc>
        <w:tc>
          <w:tcPr>
            <w:tcW w:w="2181" w:type="dxa"/>
            <w:gridSpan w:val="2"/>
            <w:vAlign w:val="center"/>
          </w:tcPr>
          <w:p w14:paraId="7D0FED0B">
            <w:pPr>
              <w:jc w:val="center"/>
              <w:rPr>
                <w:b/>
                <w:sz w:val="24"/>
              </w:rPr>
            </w:pPr>
            <w:r>
              <w:rPr>
                <w:rFonts w:hint="eastAsia"/>
                <w:b/>
                <w:sz w:val="24"/>
              </w:rPr>
              <w:t>招标方式</w:t>
            </w:r>
          </w:p>
        </w:tc>
        <w:tc>
          <w:tcPr>
            <w:tcW w:w="1559" w:type="dxa"/>
            <w:vMerge w:val="restart"/>
            <w:vAlign w:val="center"/>
          </w:tcPr>
          <w:p w14:paraId="407C596D">
            <w:pPr>
              <w:jc w:val="center"/>
              <w:rPr>
                <w:b/>
                <w:sz w:val="24"/>
              </w:rPr>
            </w:pPr>
            <w:r>
              <w:rPr>
                <w:rFonts w:hint="eastAsia"/>
                <w:b/>
                <w:sz w:val="24"/>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b/>
                <w:sz w:val="24"/>
              </w:rPr>
            </w:pPr>
          </w:p>
        </w:tc>
        <w:tc>
          <w:tcPr>
            <w:tcW w:w="1008" w:type="dxa"/>
            <w:vAlign w:val="center"/>
          </w:tcPr>
          <w:p w14:paraId="6283299D">
            <w:pPr>
              <w:jc w:val="center"/>
              <w:rPr>
                <w:b/>
                <w:sz w:val="24"/>
              </w:rPr>
            </w:pPr>
            <w:r>
              <w:rPr>
                <w:rFonts w:hint="eastAsia"/>
                <w:b/>
                <w:sz w:val="24"/>
              </w:rPr>
              <w:t>全部</w:t>
            </w:r>
          </w:p>
          <w:p w14:paraId="68342F3F">
            <w:pPr>
              <w:jc w:val="center"/>
              <w:rPr>
                <w:b/>
                <w:sz w:val="24"/>
              </w:rPr>
            </w:pPr>
            <w:r>
              <w:rPr>
                <w:rFonts w:hint="eastAsia"/>
                <w:b/>
                <w:sz w:val="24"/>
              </w:rPr>
              <w:t>招标</w:t>
            </w:r>
          </w:p>
        </w:tc>
        <w:tc>
          <w:tcPr>
            <w:tcW w:w="993" w:type="dxa"/>
            <w:vAlign w:val="center"/>
          </w:tcPr>
          <w:p w14:paraId="3EBEDD1B">
            <w:pPr>
              <w:jc w:val="center"/>
              <w:rPr>
                <w:b/>
                <w:sz w:val="24"/>
              </w:rPr>
            </w:pPr>
            <w:r>
              <w:rPr>
                <w:rFonts w:hint="eastAsia"/>
                <w:b/>
                <w:sz w:val="24"/>
              </w:rPr>
              <w:t>部分</w:t>
            </w:r>
          </w:p>
          <w:p w14:paraId="4D1D016F">
            <w:pPr>
              <w:jc w:val="center"/>
              <w:rPr>
                <w:b/>
                <w:sz w:val="24"/>
              </w:rPr>
            </w:pPr>
            <w:r>
              <w:rPr>
                <w:rFonts w:hint="eastAsia"/>
                <w:b/>
                <w:sz w:val="24"/>
              </w:rPr>
              <w:t>招标</w:t>
            </w:r>
          </w:p>
        </w:tc>
        <w:tc>
          <w:tcPr>
            <w:tcW w:w="850" w:type="dxa"/>
            <w:vAlign w:val="center"/>
          </w:tcPr>
          <w:p w14:paraId="1BAE5046">
            <w:pPr>
              <w:jc w:val="center"/>
              <w:rPr>
                <w:b/>
                <w:sz w:val="24"/>
              </w:rPr>
            </w:pPr>
            <w:r>
              <w:rPr>
                <w:rFonts w:hint="eastAsia"/>
                <w:b/>
                <w:sz w:val="24"/>
              </w:rPr>
              <w:t>自行</w:t>
            </w:r>
          </w:p>
          <w:p w14:paraId="078AB5A7">
            <w:pPr>
              <w:jc w:val="center"/>
              <w:rPr>
                <w:b/>
                <w:sz w:val="24"/>
              </w:rPr>
            </w:pPr>
            <w:r>
              <w:rPr>
                <w:rFonts w:hint="eastAsia"/>
                <w:b/>
                <w:sz w:val="24"/>
              </w:rPr>
              <w:t>招标</w:t>
            </w:r>
          </w:p>
        </w:tc>
        <w:tc>
          <w:tcPr>
            <w:tcW w:w="938" w:type="dxa"/>
            <w:vAlign w:val="center"/>
          </w:tcPr>
          <w:p w14:paraId="6BCDFACE">
            <w:pPr>
              <w:jc w:val="center"/>
              <w:rPr>
                <w:b/>
                <w:sz w:val="24"/>
              </w:rPr>
            </w:pPr>
            <w:r>
              <w:rPr>
                <w:rFonts w:hint="eastAsia"/>
                <w:b/>
                <w:sz w:val="24"/>
              </w:rPr>
              <w:t>委托</w:t>
            </w:r>
          </w:p>
          <w:p w14:paraId="6EAFC58B">
            <w:pPr>
              <w:jc w:val="center"/>
              <w:rPr>
                <w:b/>
                <w:sz w:val="24"/>
              </w:rPr>
            </w:pPr>
            <w:r>
              <w:rPr>
                <w:rFonts w:hint="eastAsia"/>
                <w:b/>
                <w:sz w:val="24"/>
              </w:rPr>
              <w:t>招标</w:t>
            </w:r>
          </w:p>
        </w:tc>
        <w:tc>
          <w:tcPr>
            <w:tcW w:w="1047" w:type="dxa"/>
            <w:vAlign w:val="center"/>
          </w:tcPr>
          <w:p w14:paraId="28162CDA">
            <w:pPr>
              <w:jc w:val="center"/>
              <w:rPr>
                <w:b/>
                <w:sz w:val="24"/>
              </w:rPr>
            </w:pPr>
            <w:r>
              <w:rPr>
                <w:rFonts w:hint="eastAsia"/>
                <w:b/>
                <w:sz w:val="24"/>
              </w:rPr>
              <w:t>公开</w:t>
            </w:r>
          </w:p>
          <w:p w14:paraId="39C8CE82">
            <w:pPr>
              <w:jc w:val="center"/>
              <w:rPr>
                <w:b/>
                <w:sz w:val="24"/>
              </w:rPr>
            </w:pPr>
            <w:r>
              <w:rPr>
                <w:rFonts w:hint="eastAsia"/>
                <w:b/>
                <w:sz w:val="24"/>
              </w:rPr>
              <w:t>招标</w:t>
            </w:r>
          </w:p>
        </w:tc>
        <w:tc>
          <w:tcPr>
            <w:tcW w:w="1134" w:type="dxa"/>
            <w:vAlign w:val="center"/>
          </w:tcPr>
          <w:p w14:paraId="28296663">
            <w:pPr>
              <w:jc w:val="center"/>
              <w:rPr>
                <w:b/>
                <w:sz w:val="24"/>
              </w:rPr>
            </w:pPr>
            <w:r>
              <w:rPr>
                <w:rFonts w:hint="eastAsia"/>
                <w:b/>
                <w:sz w:val="24"/>
              </w:rPr>
              <w:t>邀请</w:t>
            </w:r>
          </w:p>
          <w:p w14:paraId="17A9FF77">
            <w:pPr>
              <w:jc w:val="center"/>
              <w:rPr>
                <w:b/>
                <w:sz w:val="24"/>
              </w:rPr>
            </w:pPr>
            <w:r>
              <w:rPr>
                <w:rFonts w:hint="eastAsia"/>
                <w:b/>
                <w:sz w:val="24"/>
              </w:rPr>
              <w:t>招标</w:t>
            </w:r>
          </w:p>
        </w:tc>
        <w:tc>
          <w:tcPr>
            <w:tcW w:w="1559" w:type="dxa"/>
            <w:vMerge w:val="continue"/>
            <w:vAlign w:val="center"/>
          </w:tcPr>
          <w:p w14:paraId="2D199252">
            <w:pPr>
              <w:jc w:val="center"/>
              <w:rPr>
                <w:b/>
                <w:sz w:val="24"/>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sz w:val="24"/>
              </w:rPr>
            </w:pPr>
            <w:r>
              <w:rPr>
                <w:rFonts w:hint="eastAsia"/>
                <w:sz w:val="24"/>
              </w:rPr>
              <w:t>勘察</w:t>
            </w:r>
          </w:p>
        </w:tc>
        <w:tc>
          <w:tcPr>
            <w:tcW w:w="1008" w:type="dxa"/>
            <w:vAlign w:val="center"/>
          </w:tcPr>
          <w:p w14:paraId="62EC955E">
            <w:pPr>
              <w:jc w:val="center"/>
              <w:rPr>
                <w:sz w:val="24"/>
              </w:rPr>
            </w:pPr>
            <w:r>
              <w:rPr>
                <w:rFonts w:hint="eastAsia"/>
                <w:sz w:val="24"/>
              </w:rPr>
              <w:t>核准</w:t>
            </w:r>
          </w:p>
        </w:tc>
        <w:tc>
          <w:tcPr>
            <w:tcW w:w="993" w:type="dxa"/>
            <w:vAlign w:val="center"/>
          </w:tcPr>
          <w:p w14:paraId="743A6445">
            <w:pPr>
              <w:jc w:val="center"/>
              <w:rPr>
                <w:sz w:val="24"/>
              </w:rPr>
            </w:pPr>
          </w:p>
        </w:tc>
        <w:tc>
          <w:tcPr>
            <w:tcW w:w="850" w:type="dxa"/>
            <w:shd w:val="clear" w:color="auto" w:fill="auto"/>
            <w:vAlign w:val="center"/>
          </w:tcPr>
          <w:p w14:paraId="671A22D1">
            <w:pPr>
              <w:jc w:val="center"/>
              <w:rPr>
                <w:rFonts w:ascii="Times New Roman" w:hAnsi="Times New Roman" w:eastAsia="宋体" w:cs="Times New Roman"/>
                <w:kern w:val="2"/>
                <w:sz w:val="24"/>
                <w:szCs w:val="24"/>
                <w:lang w:val="en-US" w:eastAsia="zh-CN" w:bidi="ar-SA"/>
              </w:rPr>
            </w:pPr>
            <w:r>
              <w:rPr>
                <w:rFonts w:hint="eastAsia"/>
                <w:sz w:val="24"/>
              </w:rPr>
              <w:t>核准</w:t>
            </w:r>
          </w:p>
        </w:tc>
        <w:tc>
          <w:tcPr>
            <w:tcW w:w="938" w:type="dxa"/>
            <w:vAlign w:val="center"/>
          </w:tcPr>
          <w:p w14:paraId="7FE20239">
            <w:pPr>
              <w:jc w:val="center"/>
              <w:rPr>
                <w:sz w:val="24"/>
              </w:rPr>
            </w:pPr>
          </w:p>
        </w:tc>
        <w:tc>
          <w:tcPr>
            <w:tcW w:w="1047" w:type="dxa"/>
            <w:vAlign w:val="center"/>
          </w:tcPr>
          <w:p w14:paraId="73BE4463">
            <w:pPr>
              <w:jc w:val="center"/>
              <w:rPr>
                <w:sz w:val="24"/>
              </w:rPr>
            </w:pPr>
            <w:r>
              <w:rPr>
                <w:rFonts w:hint="eastAsia"/>
                <w:sz w:val="24"/>
              </w:rPr>
              <w:t>核准</w:t>
            </w:r>
          </w:p>
        </w:tc>
        <w:tc>
          <w:tcPr>
            <w:tcW w:w="1134" w:type="dxa"/>
            <w:vAlign w:val="center"/>
          </w:tcPr>
          <w:p w14:paraId="1B1C58E2">
            <w:pPr>
              <w:jc w:val="center"/>
              <w:rPr>
                <w:sz w:val="24"/>
              </w:rPr>
            </w:pPr>
          </w:p>
        </w:tc>
        <w:tc>
          <w:tcPr>
            <w:tcW w:w="1559" w:type="dxa"/>
            <w:vAlign w:val="center"/>
          </w:tcPr>
          <w:p w14:paraId="4FFBE82B">
            <w:pPr>
              <w:jc w:val="center"/>
              <w:rPr>
                <w:sz w:val="24"/>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sz w:val="24"/>
              </w:rPr>
            </w:pPr>
            <w:r>
              <w:rPr>
                <w:rFonts w:hint="eastAsia"/>
                <w:sz w:val="24"/>
              </w:rPr>
              <w:t>设计</w:t>
            </w:r>
          </w:p>
        </w:tc>
        <w:tc>
          <w:tcPr>
            <w:tcW w:w="1008" w:type="dxa"/>
            <w:vAlign w:val="center"/>
          </w:tcPr>
          <w:p w14:paraId="1087128C">
            <w:pPr>
              <w:jc w:val="center"/>
              <w:rPr>
                <w:sz w:val="24"/>
              </w:rPr>
            </w:pPr>
            <w:r>
              <w:rPr>
                <w:rFonts w:hint="eastAsia"/>
                <w:sz w:val="24"/>
              </w:rPr>
              <w:t>核准</w:t>
            </w:r>
          </w:p>
        </w:tc>
        <w:tc>
          <w:tcPr>
            <w:tcW w:w="993" w:type="dxa"/>
            <w:vAlign w:val="center"/>
          </w:tcPr>
          <w:p w14:paraId="41C6C2EB">
            <w:pPr>
              <w:jc w:val="center"/>
              <w:rPr>
                <w:sz w:val="24"/>
              </w:rPr>
            </w:pPr>
          </w:p>
        </w:tc>
        <w:tc>
          <w:tcPr>
            <w:tcW w:w="850" w:type="dxa"/>
            <w:shd w:val="clear" w:color="auto" w:fill="auto"/>
            <w:vAlign w:val="center"/>
          </w:tcPr>
          <w:p w14:paraId="1AAA64E3">
            <w:pPr>
              <w:jc w:val="center"/>
              <w:rPr>
                <w:rFonts w:ascii="Times New Roman" w:hAnsi="Times New Roman" w:eastAsia="宋体" w:cs="Times New Roman"/>
                <w:kern w:val="2"/>
                <w:sz w:val="24"/>
                <w:szCs w:val="24"/>
                <w:lang w:val="en-US" w:eastAsia="zh-CN" w:bidi="ar-SA"/>
              </w:rPr>
            </w:pPr>
            <w:r>
              <w:rPr>
                <w:rFonts w:hint="eastAsia"/>
                <w:sz w:val="24"/>
              </w:rPr>
              <w:t>核准</w:t>
            </w:r>
          </w:p>
        </w:tc>
        <w:tc>
          <w:tcPr>
            <w:tcW w:w="938" w:type="dxa"/>
            <w:vAlign w:val="center"/>
          </w:tcPr>
          <w:p w14:paraId="6B2FE8DF">
            <w:pPr>
              <w:jc w:val="center"/>
              <w:rPr>
                <w:sz w:val="24"/>
              </w:rPr>
            </w:pPr>
          </w:p>
        </w:tc>
        <w:tc>
          <w:tcPr>
            <w:tcW w:w="1047" w:type="dxa"/>
            <w:vAlign w:val="center"/>
          </w:tcPr>
          <w:p w14:paraId="54266D72">
            <w:pPr>
              <w:jc w:val="center"/>
              <w:rPr>
                <w:sz w:val="24"/>
              </w:rPr>
            </w:pPr>
            <w:r>
              <w:rPr>
                <w:rFonts w:hint="eastAsia"/>
                <w:sz w:val="24"/>
              </w:rPr>
              <w:t>核准</w:t>
            </w:r>
          </w:p>
        </w:tc>
        <w:tc>
          <w:tcPr>
            <w:tcW w:w="1134" w:type="dxa"/>
            <w:vAlign w:val="center"/>
          </w:tcPr>
          <w:p w14:paraId="505731EA">
            <w:pPr>
              <w:jc w:val="center"/>
              <w:rPr>
                <w:sz w:val="24"/>
              </w:rPr>
            </w:pPr>
          </w:p>
        </w:tc>
        <w:tc>
          <w:tcPr>
            <w:tcW w:w="1559" w:type="dxa"/>
            <w:vAlign w:val="center"/>
          </w:tcPr>
          <w:p w14:paraId="42ADDA17">
            <w:pPr>
              <w:ind w:firstLine="201" w:firstLineChars="84"/>
              <w:rPr>
                <w:sz w:val="24"/>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sz w:val="24"/>
              </w:rPr>
            </w:pPr>
            <w:r>
              <w:rPr>
                <w:rFonts w:hint="eastAsia"/>
                <w:sz w:val="24"/>
              </w:rPr>
              <w:t>建筑</w:t>
            </w:r>
          </w:p>
          <w:p w14:paraId="1E291DBE">
            <w:pPr>
              <w:jc w:val="center"/>
              <w:rPr>
                <w:sz w:val="24"/>
              </w:rPr>
            </w:pPr>
            <w:r>
              <w:rPr>
                <w:rFonts w:hint="eastAsia"/>
                <w:sz w:val="24"/>
              </w:rPr>
              <w:t>工程</w:t>
            </w:r>
          </w:p>
        </w:tc>
        <w:tc>
          <w:tcPr>
            <w:tcW w:w="1008" w:type="dxa"/>
            <w:vAlign w:val="center"/>
          </w:tcPr>
          <w:p w14:paraId="7BACC2AA">
            <w:pPr>
              <w:jc w:val="center"/>
              <w:rPr>
                <w:sz w:val="24"/>
              </w:rPr>
            </w:pPr>
            <w:r>
              <w:rPr>
                <w:rFonts w:hint="eastAsia"/>
                <w:sz w:val="24"/>
              </w:rPr>
              <w:t>核准</w:t>
            </w:r>
          </w:p>
        </w:tc>
        <w:tc>
          <w:tcPr>
            <w:tcW w:w="993" w:type="dxa"/>
            <w:vAlign w:val="center"/>
          </w:tcPr>
          <w:p w14:paraId="540D2C3E">
            <w:pPr>
              <w:jc w:val="center"/>
              <w:rPr>
                <w:sz w:val="24"/>
              </w:rPr>
            </w:pPr>
          </w:p>
        </w:tc>
        <w:tc>
          <w:tcPr>
            <w:tcW w:w="850" w:type="dxa"/>
            <w:shd w:val="clear" w:color="auto" w:fill="auto"/>
            <w:vAlign w:val="center"/>
          </w:tcPr>
          <w:p w14:paraId="6CDFBF33">
            <w:pPr>
              <w:jc w:val="center"/>
              <w:rPr>
                <w:rFonts w:ascii="Times New Roman" w:hAnsi="Times New Roman" w:eastAsia="宋体" w:cs="Times New Roman"/>
                <w:kern w:val="2"/>
                <w:sz w:val="24"/>
                <w:szCs w:val="24"/>
                <w:lang w:val="en-US" w:eastAsia="zh-CN" w:bidi="ar-SA"/>
              </w:rPr>
            </w:pPr>
            <w:r>
              <w:rPr>
                <w:rFonts w:hint="eastAsia"/>
                <w:sz w:val="24"/>
              </w:rPr>
              <w:t>核准</w:t>
            </w:r>
          </w:p>
        </w:tc>
        <w:tc>
          <w:tcPr>
            <w:tcW w:w="938" w:type="dxa"/>
            <w:vAlign w:val="center"/>
          </w:tcPr>
          <w:p w14:paraId="30F6909A">
            <w:pPr>
              <w:jc w:val="center"/>
              <w:rPr>
                <w:sz w:val="24"/>
              </w:rPr>
            </w:pPr>
          </w:p>
        </w:tc>
        <w:tc>
          <w:tcPr>
            <w:tcW w:w="1047" w:type="dxa"/>
            <w:vAlign w:val="center"/>
          </w:tcPr>
          <w:p w14:paraId="28B98CD1">
            <w:pPr>
              <w:jc w:val="center"/>
              <w:rPr>
                <w:sz w:val="24"/>
              </w:rPr>
            </w:pPr>
            <w:r>
              <w:rPr>
                <w:rFonts w:hint="eastAsia"/>
                <w:sz w:val="24"/>
              </w:rPr>
              <w:t>核准</w:t>
            </w:r>
          </w:p>
        </w:tc>
        <w:tc>
          <w:tcPr>
            <w:tcW w:w="1134" w:type="dxa"/>
            <w:vAlign w:val="center"/>
          </w:tcPr>
          <w:p w14:paraId="7C3E6622">
            <w:pPr>
              <w:jc w:val="center"/>
              <w:rPr>
                <w:sz w:val="24"/>
              </w:rPr>
            </w:pPr>
          </w:p>
        </w:tc>
        <w:tc>
          <w:tcPr>
            <w:tcW w:w="1559" w:type="dxa"/>
            <w:vAlign w:val="center"/>
          </w:tcPr>
          <w:p w14:paraId="1BF940B5">
            <w:pPr>
              <w:ind w:firstLine="201" w:firstLineChars="84"/>
              <w:rPr>
                <w:sz w:val="24"/>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sz w:val="24"/>
              </w:rPr>
            </w:pPr>
            <w:r>
              <w:rPr>
                <w:rFonts w:hint="eastAsia"/>
                <w:sz w:val="24"/>
              </w:rPr>
              <w:t>安装</w:t>
            </w:r>
          </w:p>
          <w:p w14:paraId="5B06B4D2">
            <w:pPr>
              <w:jc w:val="center"/>
              <w:rPr>
                <w:sz w:val="24"/>
              </w:rPr>
            </w:pPr>
            <w:r>
              <w:rPr>
                <w:rFonts w:hint="eastAsia"/>
                <w:sz w:val="24"/>
              </w:rPr>
              <w:t>工程</w:t>
            </w:r>
          </w:p>
        </w:tc>
        <w:tc>
          <w:tcPr>
            <w:tcW w:w="1008" w:type="dxa"/>
            <w:vAlign w:val="center"/>
          </w:tcPr>
          <w:p w14:paraId="1B9B731E">
            <w:pPr>
              <w:jc w:val="center"/>
              <w:rPr>
                <w:sz w:val="24"/>
              </w:rPr>
            </w:pPr>
            <w:r>
              <w:rPr>
                <w:rFonts w:hint="eastAsia"/>
                <w:sz w:val="24"/>
              </w:rPr>
              <w:t>核准</w:t>
            </w:r>
          </w:p>
        </w:tc>
        <w:tc>
          <w:tcPr>
            <w:tcW w:w="993" w:type="dxa"/>
            <w:vAlign w:val="center"/>
          </w:tcPr>
          <w:p w14:paraId="178570B9">
            <w:pPr>
              <w:jc w:val="center"/>
              <w:rPr>
                <w:sz w:val="24"/>
              </w:rPr>
            </w:pPr>
          </w:p>
        </w:tc>
        <w:tc>
          <w:tcPr>
            <w:tcW w:w="850" w:type="dxa"/>
            <w:shd w:val="clear" w:color="auto" w:fill="auto"/>
            <w:vAlign w:val="center"/>
          </w:tcPr>
          <w:p w14:paraId="6E4AAF0C">
            <w:pPr>
              <w:jc w:val="center"/>
              <w:rPr>
                <w:rFonts w:ascii="Times New Roman" w:hAnsi="Times New Roman" w:eastAsia="宋体" w:cs="Times New Roman"/>
                <w:kern w:val="2"/>
                <w:sz w:val="24"/>
                <w:szCs w:val="24"/>
                <w:lang w:val="en-US" w:eastAsia="zh-CN" w:bidi="ar-SA"/>
              </w:rPr>
            </w:pPr>
            <w:r>
              <w:rPr>
                <w:rFonts w:hint="eastAsia"/>
                <w:sz w:val="24"/>
              </w:rPr>
              <w:t>核准</w:t>
            </w:r>
          </w:p>
        </w:tc>
        <w:tc>
          <w:tcPr>
            <w:tcW w:w="938" w:type="dxa"/>
            <w:vAlign w:val="center"/>
          </w:tcPr>
          <w:p w14:paraId="3F022D99">
            <w:pPr>
              <w:jc w:val="center"/>
              <w:rPr>
                <w:sz w:val="24"/>
              </w:rPr>
            </w:pPr>
          </w:p>
        </w:tc>
        <w:tc>
          <w:tcPr>
            <w:tcW w:w="1047" w:type="dxa"/>
            <w:vAlign w:val="center"/>
          </w:tcPr>
          <w:p w14:paraId="1181788A">
            <w:pPr>
              <w:jc w:val="center"/>
              <w:rPr>
                <w:sz w:val="24"/>
              </w:rPr>
            </w:pPr>
            <w:r>
              <w:rPr>
                <w:rFonts w:hint="eastAsia"/>
                <w:sz w:val="24"/>
              </w:rPr>
              <w:t>核准</w:t>
            </w:r>
          </w:p>
        </w:tc>
        <w:tc>
          <w:tcPr>
            <w:tcW w:w="1134" w:type="dxa"/>
            <w:vAlign w:val="center"/>
          </w:tcPr>
          <w:p w14:paraId="5AC886BA">
            <w:pPr>
              <w:jc w:val="center"/>
              <w:rPr>
                <w:sz w:val="24"/>
              </w:rPr>
            </w:pPr>
          </w:p>
        </w:tc>
        <w:tc>
          <w:tcPr>
            <w:tcW w:w="1559" w:type="dxa"/>
            <w:vAlign w:val="center"/>
          </w:tcPr>
          <w:p w14:paraId="1924B6D7">
            <w:pPr>
              <w:ind w:firstLine="201" w:firstLineChars="84"/>
              <w:rPr>
                <w:sz w:val="24"/>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sz w:val="24"/>
              </w:rPr>
            </w:pPr>
            <w:r>
              <w:rPr>
                <w:rFonts w:hint="eastAsia"/>
                <w:sz w:val="24"/>
              </w:rPr>
              <w:t>监理</w:t>
            </w:r>
          </w:p>
        </w:tc>
        <w:tc>
          <w:tcPr>
            <w:tcW w:w="1008" w:type="dxa"/>
            <w:vAlign w:val="center"/>
          </w:tcPr>
          <w:p w14:paraId="6F77F257">
            <w:pPr>
              <w:jc w:val="center"/>
              <w:rPr>
                <w:sz w:val="24"/>
              </w:rPr>
            </w:pPr>
            <w:r>
              <w:rPr>
                <w:rFonts w:hint="eastAsia"/>
                <w:sz w:val="24"/>
              </w:rPr>
              <w:t>核准</w:t>
            </w:r>
          </w:p>
        </w:tc>
        <w:tc>
          <w:tcPr>
            <w:tcW w:w="993" w:type="dxa"/>
            <w:vAlign w:val="center"/>
          </w:tcPr>
          <w:p w14:paraId="6574F7B1">
            <w:pPr>
              <w:jc w:val="center"/>
              <w:rPr>
                <w:sz w:val="24"/>
              </w:rPr>
            </w:pPr>
          </w:p>
        </w:tc>
        <w:tc>
          <w:tcPr>
            <w:tcW w:w="850" w:type="dxa"/>
            <w:shd w:val="clear" w:color="auto" w:fill="auto"/>
            <w:vAlign w:val="center"/>
          </w:tcPr>
          <w:p w14:paraId="49FF449A">
            <w:pPr>
              <w:jc w:val="center"/>
              <w:rPr>
                <w:rFonts w:ascii="Times New Roman" w:hAnsi="Times New Roman" w:eastAsia="宋体" w:cs="Times New Roman"/>
                <w:kern w:val="2"/>
                <w:sz w:val="24"/>
                <w:szCs w:val="24"/>
                <w:lang w:val="en-US" w:eastAsia="zh-CN" w:bidi="ar-SA"/>
              </w:rPr>
            </w:pPr>
            <w:r>
              <w:rPr>
                <w:rFonts w:hint="eastAsia"/>
                <w:sz w:val="24"/>
              </w:rPr>
              <w:t>核准</w:t>
            </w:r>
          </w:p>
        </w:tc>
        <w:tc>
          <w:tcPr>
            <w:tcW w:w="938" w:type="dxa"/>
            <w:vAlign w:val="center"/>
          </w:tcPr>
          <w:p w14:paraId="59340709">
            <w:pPr>
              <w:jc w:val="center"/>
              <w:rPr>
                <w:sz w:val="24"/>
              </w:rPr>
            </w:pPr>
          </w:p>
        </w:tc>
        <w:tc>
          <w:tcPr>
            <w:tcW w:w="1047" w:type="dxa"/>
            <w:vAlign w:val="center"/>
          </w:tcPr>
          <w:p w14:paraId="68AAA1DA">
            <w:pPr>
              <w:jc w:val="center"/>
              <w:rPr>
                <w:sz w:val="24"/>
              </w:rPr>
            </w:pPr>
            <w:r>
              <w:rPr>
                <w:rFonts w:hint="eastAsia"/>
                <w:sz w:val="24"/>
              </w:rPr>
              <w:t>核准</w:t>
            </w:r>
          </w:p>
        </w:tc>
        <w:tc>
          <w:tcPr>
            <w:tcW w:w="1134" w:type="dxa"/>
            <w:vAlign w:val="center"/>
          </w:tcPr>
          <w:p w14:paraId="37CAD34C">
            <w:pPr>
              <w:jc w:val="center"/>
              <w:rPr>
                <w:sz w:val="24"/>
              </w:rPr>
            </w:pPr>
          </w:p>
        </w:tc>
        <w:tc>
          <w:tcPr>
            <w:tcW w:w="1559" w:type="dxa"/>
            <w:vAlign w:val="center"/>
          </w:tcPr>
          <w:p w14:paraId="7F9FAEF7">
            <w:pPr>
              <w:jc w:val="center"/>
              <w:rPr>
                <w:sz w:val="24"/>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sz w:val="24"/>
              </w:rPr>
            </w:pPr>
            <w:r>
              <w:rPr>
                <w:rFonts w:hint="eastAsia"/>
                <w:sz w:val="24"/>
              </w:rPr>
              <w:t>设备</w:t>
            </w:r>
          </w:p>
        </w:tc>
        <w:tc>
          <w:tcPr>
            <w:tcW w:w="1008" w:type="dxa"/>
            <w:vAlign w:val="center"/>
          </w:tcPr>
          <w:p w14:paraId="69E71733">
            <w:pPr>
              <w:jc w:val="center"/>
              <w:rPr>
                <w:sz w:val="24"/>
              </w:rPr>
            </w:pPr>
            <w:r>
              <w:rPr>
                <w:rFonts w:hint="eastAsia"/>
                <w:sz w:val="24"/>
              </w:rPr>
              <w:t>核准</w:t>
            </w:r>
          </w:p>
        </w:tc>
        <w:tc>
          <w:tcPr>
            <w:tcW w:w="993" w:type="dxa"/>
            <w:vAlign w:val="center"/>
          </w:tcPr>
          <w:p w14:paraId="6440DC0F">
            <w:pPr>
              <w:jc w:val="center"/>
              <w:rPr>
                <w:sz w:val="24"/>
              </w:rPr>
            </w:pPr>
          </w:p>
        </w:tc>
        <w:tc>
          <w:tcPr>
            <w:tcW w:w="850" w:type="dxa"/>
            <w:shd w:val="clear" w:color="auto" w:fill="auto"/>
            <w:vAlign w:val="center"/>
          </w:tcPr>
          <w:p w14:paraId="39871FDB">
            <w:pPr>
              <w:jc w:val="center"/>
              <w:rPr>
                <w:rFonts w:ascii="Times New Roman" w:hAnsi="Times New Roman" w:eastAsia="宋体" w:cs="Times New Roman"/>
                <w:kern w:val="2"/>
                <w:sz w:val="24"/>
                <w:szCs w:val="24"/>
                <w:lang w:val="en-US" w:eastAsia="zh-CN" w:bidi="ar-SA"/>
              </w:rPr>
            </w:pPr>
            <w:r>
              <w:rPr>
                <w:rFonts w:hint="eastAsia"/>
                <w:sz w:val="24"/>
              </w:rPr>
              <w:t>核准</w:t>
            </w:r>
          </w:p>
        </w:tc>
        <w:tc>
          <w:tcPr>
            <w:tcW w:w="938" w:type="dxa"/>
            <w:vAlign w:val="center"/>
          </w:tcPr>
          <w:p w14:paraId="5746AD1F">
            <w:pPr>
              <w:jc w:val="center"/>
              <w:rPr>
                <w:sz w:val="24"/>
              </w:rPr>
            </w:pPr>
          </w:p>
        </w:tc>
        <w:tc>
          <w:tcPr>
            <w:tcW w:w="1047" w:type="dxa"/>
            <w:vAlign w:val="center"/>
          </w:tcPr>
          <w:p w14:paraId="385FE9D4">
            <w:pPr>
              <w:jc w:val="center"/>
              <w:rPr>
                <w:sz w:val="24"/>
              </w:rPr>
            </w:pPr>
            <w:r>
              <w:rPr>
                <w:rFonts w:hint="eastAsia"/>
                <w:sz w:val="24"/>
              </w:rPr>
              <w:t>核准</w:t>
            </w:r>
          </w:p>
        </w:tc>
        <w:tc>
          <w:tcPr>
            <w:tcW w:w="1134" w:type="dxa"/>
            <w:vAlign w:val="center"/>
          </w:tcPr>
          <w:p w14:paraId="3A05F483">
            <w:pPr>
              <w:jc w:val="center"/>
              <w:rPr>
                <w:sz w:val="24"/>
              </w:rPr>
            </w:pPr>
          </w:p>
        </w:tc>
        <w:tc>
          <w:tcPr>
            <w:tcW w:w="1559" w:type="dxa"/>
            <w:vAlign w:val="center"/>
          </w:tcPr>
          <w:p w14:paraId="0879AB3E">
            <w:pPr>
              <w:jc w:val="center"/>
              <w:rPr>
                <w:sz w:val="24"/>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sz w:val="24"/>
              </w:rPr>
            </w:pPr>
            <w:r>
              <w:rPr>
                <w:rFonts w:hint="eastAsia"/>
                <w:sz w:val="24"/>
              </w:rPr>
              <w:t>其他</w:t>
            </w:r>
          </w:p>
        </w:tc>
        <w:tc>
          <w:tcPr>
            <w:tcW w:w="1008" w:type="dxa"/>
            <w:vAlign w:val="center"/>
          </w:tcPr>
          <w:p w14:paraId="1F9F76D7">
            <w:pPr>
              <w:jc w:val="center"/>
              <w:rPr>
                <w:sz w:val="24"/>
              </w:rPr>
            </w:pPr>
          </w:p>
        </w:tc>
        <w:tc>
          <w:tcPr>
            <w:tcW w:w="993" w:type="dxa"/>
            <w:vAlign w:val="center"/>
          </w:tcPr>
          <w:p w14:paraId="35E50070">
            <w:pPr>
              <w:jc w:val="center"/>
              <w:rPr>
                <w:sz w:val="24"/>
              </w:rPr>
            </w:pPr>
          </w:p>
        </w:tc>
        <w:tc>
          <w:tcPr>
            <w:tcW w:w="850" w:type="dxa"/>
            <w:shd w:val="clear" w:color="auto" w:fill="auto"/>
            <w:vAlign w:val="center"/>
          </w:tcPr>
          <w:p w14:paraId="4FD31E4A">
            <w:pPr>
              <w:jc w:val="center"/>
              <w:rPr>
                <w:rFonts w:ascii="Times New Roman" w:hAnsi="Times New Roman" w:eastAsia="宋体" w:cs="Times New Roman"/>
                <w:kern w:val="2"/>
                <w:sz w:val="24"/>
                <w:szCs w:val="24"/>
                <w:lang w:val="en-US" w:eastAsia="zh-CN" w:bidi="ar-SA"/>
              </w:rPr>
            </w:pPr>
          </w:p>
        </w:tc>
        <w:tc>
          <w:tcPr>
            <w:tcW w:w="938" w:type="dxa"/>
            <w:vAlign w:val="center"/>
          </w:tcPr>
          <w:p w14:paraId="0815A4CD">
            <w:pPr>
              <w:jc w:val="center"/>
              <w:rPr>
                <w:sz w:val="24"/>
              </w:rPr>
            </w:pPr>
          </w:p>
        </w:tc>
        <w:tc>
          <w:tcPr>
            <w:tcW w:w="1047" w:type="dxa"/>
            <w:vAlign w:val="center"/>
          </w:tcPr>
          <w:p w14:paraId="1949473A">
            <w:pPr>
              <w:jc w:val="center"/>
              <w:rPr>
                <w:sz w:val="24"/>
              </w:rPr>
            </w:pPr>
          </w:p>
        </w:tc>
        <w:tc>
          <w:tcPr>
            <w:tcW w:w="1134" w:type="dxa"/>
            <w:vAlign w:val="center"/>
          </w:tcPr>
          <w:p w14:paraId="2A22F34B">
            <w:pPr>
              <w:jc w:val="center"/>
              <w:rPr>
                <w:sz w:val="24"/>
              </w:rPr>
            </w:pPr>
          </w:p>
        </w:tc>
        <w:tc>
          <w:tcPr>
            <w:tcW w:w="1559" w:type="dxa"/>
            <w:vAlign w:val="center"/>
          </w:tcPr>
          <w:p w14:paraId="7D147D81">
            <w:pPr>
              <w:jc w:val="center"/>
              <w:rPr>
                <w:sz w:val="24"/>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sz w:val="24"/>
              </w:rPr>
            </w:pPr>
            <w:r>
              <w:rPr>
                <w:rFonts w:hint="eastAsia" w:ascii="宋体" w:hAnsi="宋体"/>
                <w:sz w:val="24"/>
              </w:rPr>
              <w:t>审批部门核准意见说明：</w:t>
            </w:r>
          </w:p>
          <w:p w14:paraId="5B0A4F0D">
            <w:pPr>
              <w:ind w:firstLine="480" w:firstLineChars="200"/>
            </w:pPr>
            <w:r>
              <w:rPr>
                <w:rFonts w:hint="eastAsia" w:ascii="宋体" w:hAnsi="宋体"/>
                <w:sz w:val="24"/>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rPr>
              <w:t>。</w:t>
            </w:r>
          </w:p>
          <w:p w14:paraId="0116803D">
            <w:pPr>
              <w:rPr>
                <w:sz w:val="24"/>
              </w:rPr>
            </w:pPr>
          </w:p>
          <w:p w14:paraId="24B196D2">
            <w:pPr>
              <w:ind w:left="5880" w:leftChars="2800"/>
              <w:rPr>
                <w:sz w:val="24"/>
              </w:rPr>
            </w:pPr>
          </w:p>
          <w:p w14:paraId="08A8FFB6">
            <w:pPr>
              <w:jc w:val="center"/>
              <w:rPr>
                <w:sz w:val="24"/>
              </w:rPr>
            </w:pPr>
          </w:p>
          <w:p w14:paraId="6938EDBD">
            <w:pPr>
              <w:pStyle w:val="30"/>
              <w:spacing w:line="580" w:lineRule="exact"/>
              <w:ind w:firstLine="6000" w:firstLineChars="2500"/>
              <w:jc w:val="both"/>
              <w:rPr>
                <w:rFonts w:ascii="宋体" w:hAnsi="宋体" w:cs="Times New Roman"/>
                <w:color w:val="auto"/>
                <w:kern w:val="2"/>
              </w:rPr>
            </w:pPr>
            <w:r>
              <w:rPr>
                <w:rFonts w:hint="eastAsia" w:ascii="宋体" w:hAnsi="宋体" w:cs="Times New Roman"/>
                <w:color w:val="auto"/>
                <w:kern w:val="2"/>
              </w:rPr>
              <w:t>2025年</w:t>
            </w:r>
            <w:r>
              <w:rPr>
                <w:rFonts w:hint="eastAsia" w:ascii="宋体" w:hAnsi="宋体" w:cs="Times New Roman"/>
                <w:color w:val="auto"/>
                <w:kern w:val="2"/>
                <w:lang w:val="en-US" w:eastAsia="zh-CN"/>
              </w:rPr>
              <w:t>9</w:t>
            </w:r>
            <w:r>
              <w:rPr>
                <w:rFonts w:hint="eastAsia" w:ascii="宋体" w:hAnsi="宋体" w:cs="Times New Roman"/>
                <w:color w:val="auto"/>
                <w:kern w:val="2"/>
              </w:rPr>
              <w:t>月</w:t>
            </w:r>
            <w:r>
              <w:rPr>
                <w:rFonts w:hint="eastAsia" w:ascii="宋体" w:hAnsi="宋体" w:cs="Times New Roman"/>
                <w:color w:val="auto"/>
                <w:kern w:val="2"/>
                <w:lang w:val="en-US" w:eastAsia="zh-CN"/>
              </w:rPr>
              <w:t>5</w:t>
            </w:r>
            <w:r>
              <w:rPr>
                <w:rFonts w:hint="eastAsia" w:ascii="宋体" w:hAnsi="宋体" w:cs="Times New Roman"/>
                <w:color w:val="auto"/>
                <w:kern w:val="2"/>
              </w:rPr>
              <w:t>日</w:t>
            </w:r>
          </w:p>
          <w:p w14:paraId="46D05149">
            <w:pPr>
              <w:jc w:val="center"/>
              <w:rPr>
                <w:sz w:val="24"/>
              </w:rPr>
            </w:pPr>
          </w:p>
          <w:p w14:paraId="04F4C021">
            <w:pPr>
              <w:jc w:val="center"/>
              <w:rPr>
                <w:sz w:val="24"/>
              </w:rPr>
            </w:pPr>
          </w:p>
          <w:p w14:paraId="41D9EF34">
            <w:pPr>
              <w:jc w:val="center"/>
              <w:rPr>
                <w:sz w:val="24"/>
              </w:rPr>
            </w:pPr>
          </w:p>
          <w:p w14:paraId="23459316">
            <w:pPr>
              <w:rPr>
                <w:sz w:val="24"/>
              </w:rPr>
            </w:pPr>
          </w:p>
          <w:p w14:paraId="5BE2AAFB">
            <w:pPr>
              <w:rPr>
                <w:sz w:val="24"/>
              </w:rPr>
            </w:pPr>
          </w:p>
        </w:tc>
      </w:tr>
    </w:tbl>
    <w:p w14:paraId="25A74ECC">
      <w:pPr>
        <w:spacing w:line="600" w:lineRule="exact"/>
        <w:rPr>
          <w:rFonts w:hint="eastAsia" w:ascii="宋体" w:hAnsi="宋体" w:cs="仿宋_GB2312"/>
          <w:sz w:val="28"/>
          <w:szCs w:val="28"/>
        </w:rPr>
      </w:pPr>
    </w:p>
    <w:p w14:paraId="53840DD5">
      <w:pPr>
        <w:spacing w:line="600" w:lineRule="exact"/>
        <w:rPr>
          <w:rFonts w:ascii="宋体" w:hAnsi="宋体" w:cs="仿宋_GB2312"/>
          <w:sz w:val="28"/>
          <w:szCs w:val="28"/>
        </w:rPr>
      </w:pPr>
      <w:r>
        <w:rPr>
          <w:rFonts w:hint="eastAsia" w:ascii="宋体" w:hAnsi="宋体" w:cs="仿宋_GB2312"/>
          <w:sz w:val="28"/>
          <w:szCs w:val="28"/>
        </w:rPr>
        <w:t>附件2</w:t>
      </w:r>
    </w:p>
    <w:p w14:paraId="0B422C69">
      <w:pPr>
        <w:spacing w:line="600" w:lineRule="exact"/>
        <w:rPr>
          <w:rFonts w:ascii="黑体" w:hAnsi="黑体" w:eastAsia="黑体" w:cs="仿宋_GB2312"/>
        </w:rPr>
      </w:pPr>
    </w:p>
    <w:p w14:paraId="3464828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7A98C91C">
      <w:pPr>
        <w:spacing w:line="600" w:lineRule="exact"/>
        <w:rPr>
          <w:rFonts w:ascii="仿宋_GB2312" w:hAnsi="仿宋_GB2312" w:eastAsia="仿宋_GB2312" w:cs="仿宋_GB2312"/>
          <w:snapToGrid w:val="0"/>
          <w:color w:val="000000"/>
          <w:kern w:val="0"/>
          <w:sz w:val="32"/>
          <w:szCs w:val="32"/>
        </w:rPr>
      </w:pPr>
    </w:p>
    <w:p w14:paraId="1A3B0498">
      <w:pPr>
        <w:spacing w:line="600" w:lineRule="exact"/>
        <w:rPr>
          <w:rFonts w:ascii="仿宋_GB2312" w:hAnsi="仿宋_GB2312" w:eastAsia="仿宋_GB2312" w:cs="仿宋_GB2312"/>
          <w:sz w:val="32"/>
          <w:szCs w:val="32"/>
        </w:rPr>
      </w:pPr>
      <w:r>
        <w:rPr>
          <w:rFonts w:hint="eastAsia" w:ascii="仿宋_GB2312" w:eastAsia="仿宋_GB2312"/>
          <w:snapToGrid w:val="0"/>
          <w:color w:val="000000"/>
          <w:kern w:val="0"/>
          <w:sz w:val="32"/>
          <w:szCs w:val="32"/>
        </w:rPr>
        <w:t>兴业华基储能有限公司</w:t>
      </w:r>
      <w:r>
        <w:rPr>
          <w:rFonts w:hint="eastAsia" w:ascii="仿宋_GB2312" w:hAnsi="仿宋_GB2312" w:eastAsia="仿宋_GB2312" w:cs="仿宋_GB2312"/>
          <w:sz w:val="32"/>
          <w:szCs w:val="32"/>
        </w:rPr>
        <w:t>:</w:t>
      </w:r>
    </w:p>
    <w:p w14:paraId="47623CD2">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为了进一步加强电力项目的安全管理,有效防范安全生产和质量事故,现就你单位华基兴业共享储能电站项目220千伏送出线路工程施工安全和质量管控应重点注意的事项告知如下。</w:t>
      </w:r>
    </w:p>
    <w:p w14:paraId="41AE8A7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17B4C04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548A859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12F210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七、应当严格落实应急管理及事故处置措施,及时如实报告生产安全事故。</w:t>
      </w:r>
    </w:p>
    <w:p w14:paraId="3465D5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sz w:val="32"/>
          <w:szCs w:val="32"/>
        </w:rPr>
      </w:pPr>
    </w:p>
    <w:p w14:paraId="681DAE4F">
      <w:pPr>
        <w:spacing w:line="600" w:lineRule="exact"/>
        <w:rPr>
          <w:rFonts w:ascii="仿宋_GB2312" w:hAnsi="仿宋_GB2312" w:eastAsia="仿宋_GB2312" w:cs="仿宋_GB2312"/>
          <w:sz w:val="32"/>
          <w:szCs w:val="32"/>
        </w:rPr>
      </w:pPr>
    </w:p>
    <w:p w14:paraId="0D4D38FF">
      <w:pPr>
        <w:rPr>
          <w:rFonts w:ascii="仿宋_GB2312" w:eastAsia="仿宋_GB2312"/>
          <w:sz w:val="32"/>
          <w:szCs w:val="32"/>
        </w:rPr>
      </w:pPr>
    </w:p>
    <w:p w14:paraId="6A7E3851">
      <w:pPr>
        <w:spacing w:line="60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告知人:玉林市发展和改革委员会</w:t>
      </w:r>
    </w:p>
    <w:p w14:paraId="3A562EE1">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被告知单位:</w:t>
      </w:r>
      <w:r>
        <w:rPr>
          <w:rFonts w:hint="eastAsia" w:ascii="仿宋_GB2312" w:eastAsia="仿宋_GB2312"/>
          <w:snapToGrid w:val="0"/>
          <w:color w:val="000000"/>
          <w:kern w:val="0"/>
          <w:sz w:val="32"/>
          <w:szCs w:val="32"/>
        </w:rPr>
        <w:t>兴业华基储能有限公司</w:t>
      </w:r>
    </w:p>
    <w:p w14:paraId="2C090D77">
      <w:pPr>
        <w:spacing w:line="600" w:lineRule="exact"/>
        <w:ind w:firstLine="4899" w:firstLineChars="1531"/>
        <w:rPr>
          <w:rFonts w:ascii="宋体" w:hAnsi="宋体"/>
          <w:sz w:val="24"/>
        </w:rPr>
      </w:pPr>
      <w:bookmarkStart w:id="7" w:name="_GoBack"/>
      <w:bookmarkEnd w:id="7"/>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2C59">
    <w:pPr>
      <w:pStyle w:val="8"/>
      <w:framePr w:wrap="around" w:vAnchor="text" w:hAnchor="margin" w:xAlign="outside" w:y="1"/>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- 2 -</w:t>
    </w:r>
    <w:r>
      <w:rPr>
        <w:rStyle w:val="16"/>
        <w:sz w:val="32"/>
        <w:szCs w:val="32"/>
      </w:rPr>
      <w:fldChar w:fldCharType="end"/>
    </w:r>
  </w:p>
  <w:p w14:paraId="64CC668A">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E732">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33460E4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1C4F">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6866">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0300">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A2E36"/>
    <w:multiLevelType w:val="singleLevel"/>
    <w:tmpl w:val="039A2E36"/>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548E4"/>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5DE7"/>
    <w:rsid w:val="001C6256"/>
    <w:rsid w:val="001D2A39"/>
    <w:rsid w:val="001E1EFC"/>
    <w:rsid w:val="001E632F"/>
    <w:rsid w:val="001F1019"/>
    <w:rsid w:val="001F4F97"/>
    <w:rsid w:val="00200C94"/>
    <w:rsid w:val="00204721"/>
    <w:rsid w:val="00226816"/>
    <w:rsid w:val="00226916"/>
    <w:rsid w:val="00232F72"/>
    <w:rsid w:val="0023319C"/>
    <w:rsid w:val="00234106"/>
    <w:rsid w:val="00250738"/>
    <w:rsid w:val="0025624E"/>
    <w:rsid w:val="0025643D"/>
    <w:rsid w:val="00266031"/>
    <w:rsid w:val="00266713"/>
    <w:rsid w:val="002677DF"/>
    <w:rsid w:val="00270015"/>
    <w:rsid w:val="002702BF"/>
    <w:rsid w:val="00277B1A"/>
    <w:rsid w:val="00280F1A"/>
    <w:rsid w:val="00281A00"/>
    <w:rsid w:val="00282BC7"/>
    <w:rsid w:val="00291C44"/>
    <w:rsid w:val="002928C0"/>
    <w:rsid w:val="002941E6"/>
    <w:rsid w:val="00297EB3"/>
    <w:rsid w:val="002A5E4B"/>
    <w:rsid w:val="002B533B"/>
    <w:rsid w:val="002B7DA0"/>
    <w:rsid w:val="002C34F6"/>
    <w:rsid w:val="002C507A"/>
    <w:rsid w:val="002C7ED3"/>
    <w:rsid w:val="002D1581"/>
    <w:rsid w:val="002D2F08"/>
    <w:rsid w:val="002E697C"/>
    <w:rsid w:val="002F03C8"/>
    <w:rsid w:val="00303BFA"/>
    <w:rsid w:val="00304602"/>
    <w:rsid w:val="003047C8"/>
    <w:rsid w:val="003063B6"/>
    <w:rsid w:val="00314AFF"/>
    <w:rsid w:val="00316AD8"/>
    <w:rsid w:val="0032258D"/>
    <w:rsid w:val="003279B3"/>
    <w:rsid w:val="00333D7C"/>
    <w:rsid w:val="003376EA"/>
    <w:rsid w:val="00341534"/>
    <w:rsid w:val="00341FB3"/>
    <w:rsid w:val="0034611E"/>
    <w:rsid w:val="00347FEC"/>
    <w:rsid w:val="00351345"/>
    <w:rsid w:val="003516B1"/>
    <w:rsid w:val="00355070"/>
    <w:rsid w:val="0036756E"/>
    <w:rsid w:val="00367709"/>
    <w:rsid w:val="003720BE"/>
    <w:rsid w:val="00373932"/>
    <w:rsid w:val="003778F9"/>
    <w:rsid w:val="00377A70"/>
    <w:rsid w:val="00384EBB"/>
    <w:rsid w:val="003862D1"/>
    <w:rsid w:val="003A2653"/>
    <w:rsid w:val="003A48C2"/>
    <w:rsid w:val="003A54E5"/>
    <w:rsid w:val="003B1F3B"/>
    <w:rsid w:val="003C0A5B"/>
    <w:rsid w:val="003C1F57"/>
    <w:rsid w:val="003C2427"/>
    <w:rsid w:val="003C29FB"/>
    <w:rsid w:val="003D120A"/>
    <w:rsid w:val="003D2171"/>
    <w:rsid w:val="003D4962"/>
    <w:rsid w:val="003E313B"/>
    <w:rsid w:val="003E3A31"/>
    <w:rsid w:val="003F3D7A"/>
    <w:rsid w:val="00402462"/>
    <w:rsid w:val="00407C1B"/>
    <w:rsid w:val="00410339"/>
    <w:rsid w:val="0041211C"/>
    <w:rsid w:val="00413CDE"/>
    <w:rsid w:val="00414A53"/>
    <w:rsid w:val="00417076"/>
    <w:rsid w:val="00420E7E"/>
    <w:rsid w:val="004214F9"/>
    <w:rsid w:val="004246CA"/>
    <w:rsid w:val="00425EA0"/>
    <w:rsid w:val="00431E9B"/>
    <w:rsid w:val="0043542A"/>
    <w:rsid w:val="004562DF"/>
    <w:rsid w:val="004630D8"/>
    <w:rsid w:val="00463940"/>
    <w:rsid w:val="00464200"/>
    <w:rsid w:val="00465EAE"/>
    <w:rsid w:val="00470B6D"/>
    <w:rsid w:val="0047275F"/>
    <w:rsid w:val="00481B12"/>
    <w:rsid w:val="004859DE"/>
    <w:rsid w:val="004860B7"/>
    <w:rsid w:val="004868CB"/>
    <w:rsid w:val="00491D1D"/>
    <w:rsid w:val="004978CE"/>
    <w:rsid w:val="004A16D5"/>
    <w:rsid w:val="004C0F62"/>
    <w:rsid w:val="004C3F87"/>
    <w:rsid w:val="004C6139"/>
    <w:rsid w:val="004C69E7"/>
    <w:rsid w:val="004C7894"/>
    <w:rsid w:val="004D6BD2"/>
    <w:rsid w:val="00504BD1"/>
    <w:rsid w:val="00505E09"/>
    <w:rsid w:val="005068DF"/>
    <w:rsid w:val="00515F94"/>
    <w:rsid w:val="005178F0"/>
    <w:rsid w:val="0052307E"/>
    <w:rsid w:val="00530591"/>
    <w:rsid w:val="005629BC"/>
    <w:rsid w:val="005654EE"/>
    <w:rsid w:val="00570249"/>
    <w:rsid w:val="00571A66"/>
    <w:rsid w:val="00575E6E"/>
    <w:rsid w:val="00582ED9"/>
    <w:rsid w:val="00583EC8"/>
    <w:rsid w:val="00590A88"/>
    <w:rsid w:val="005A1B65"/>
    <w:rsid w:val="005B0ECA"/>
    <w:rsid w:val="005B3B67"/>
    <w:rsid w:val="005C318F"/>
    <w:rsid w:val="005C6560"/>
    <w:rsid w:val="005C70F0"/>
    <w:rsid w:val="005F53C1"/>
    <w:rsid w:val="005F6730"/>
    <w:rsid w:val="00602413"/>
    <w:rsid w:val="006051C4"/>
    <w:rsid w:val="0060650B"/>
    <w:rsid w:val="00606CC5"/>
    <w:rsid w:val="00613AA1"/>
    <w:rsid w:val="00623CDC"/>
    <w:rsid w:val="00631F7F"/>
    <w:rsid w:val="0063254B"/>
    <w:rsid w:val="0063601E"/>
    <w:rsid w:val="00640B16"/>
    <w:rsid w:val="00642232"/>
    <w:rsid w:val="006444B4"/>
    <w:rsid w:val="006450DF"/>
    <w:rsid w:val="00647AC5"/>
    <w:rsid w:val="00655EEE"/>
    <w:rsid w:val="00661749"/>
    <w:rsid w:val="006624DD"/>
    <w:rsid w:val="006658D6"/>
    <w:rsid w:val="006711C4"/>
    <w:rsid w:val="0067311A"/>
    <w:rsid w:val="00680142"/>
    <w:rsid w:val="006836E9"/>
    <w:rsid w:val="0069540E"/>
    <w:rsid w:val="006A2EED"/>
    <w:rsid w:val="006B307C"/>
    <w:rsid w:val="006B4221"/>
    <w:rsid w:val="006B63DD"/>
    <w:rsid w:val="006B74F5"/>
    <w:rsid w:val="006C525B"/>
    <w:rsid w:val="006D20E9"/>
    <w:rsid w:val="006D5C22"/>
    <w:rsid w:val="006D6136"/>
    <w:rsid w:val="006E0890"/>
    <w:rsid w:val="006E1930"/>
    <w:rsid w:val="006E41CF"/>
    <w:rsid w:val="006E5F67"/>
    <w:rsid w:val="006E6A57"/>
    <w:rsid w:val="006E6F69"/>
    <w:rsid w:val="006F6D42"/>
    <w:rsid w:val="006F7628"/>
    <w:rsid w:val="00705F3E"/>
    <w:rsid w:val="00715781"/>
    <w:rsid w:val="00715C73"/>
    <w:rsid w:val="00722334"/>
    <w:rsid w:val="007300AB"/>
    <w:rsid w:val="00741011"/>
    <w:rsid w:val="00747449"/>
    <w:rsid w:val="007548F5"/>
    <w:rsid w:val="00762C4A"/>
    <w:rsid w:val="00773FFD"/>
    <w:rsid w:val="00775474"/>
    <w:rsid w:val="007937AB"/>
    <w:rsid w:val="0079723B"/>
    <w:rsid w:val="007A3CAE"/>
    <w:rsid w:val="007A4A77"/>
    <w:rsid w:val="007A6907"/>
    <w:rsid w:val="007A7F78"/>
    <w:rsid w:val="007B02B8"/>
    <w:rsid w:val="007B1E36"/>
    <w:rsid w:val="007C21EE"/>
    <w:rsid w:val="007C51F1"/>
    <w:rsid w:val="007D1061"/>
    <w:rsid w:val="007D2ACF"/>
    <w:rsid w:val="007D62EC"/>
    <w:rsid w:val="007D7416"/>
    <w:rsid w:val="00803BBA"/>
    <w:rsid w:val="00810108"/>
    <w:rsid w:val="008118E2"/>
    <w:rsid w:val="0081209B"/>
    <w:rsid w:val="00835E97"/>
    <w:rsid w:val="0084523F"/>
    <w:rsid w:val="008477E8"/>
    <w:rsid w:val="00847FB7"/>
    <w:rsid w:val="00850E05"/>
    <w:rsid w:val="00851720"/>
    <w:rsid w:val="00856FC6"/>
    <w:rsid w:val="0086155F"/>
    <w:rsid w:val="0086603F"/>
    <w:rsid w:val="00867989"/>
    <w:rsid w:val="00871A0E"/>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08CB"/>
    <w:rsid w:val="009F132C"/>
    <w:rsid w:val="009F763E"/>
    <w:rsid w:val="00A05BC9"/>
    <w:rsid w:val="00A05D55"/>
    <w:rsid w:val="00A06E3A"/>
    <w:rsid w:val="00A1100A"/>
    <w:rsid w:val="00A1728B"/>
    <w:rsid w:val="00A20CE9"/>
    <w:rsid w:val="00A219B3"/>
    <w:rsid w:val="00A23673"/>
    <w:rsid w:val="00A244BD"/>
    <w:rsid w:val="00A276FF"/>
    <w:rsid w:val="00A35FDC"/>
    <w:rsid w:val="00A37009"/>
    <w:rsid w:val="00A37623"/>
    <w:rsid w:val="00A40DF1"/>
    <w:rsid w:val="00A47338"/>
    <w:rsid w:val="00A477B4"/>
    <w:rsid w:val="00A57D99"/>
    <w:rsid w:val="00A67EB9"/>
    <w:rsid w:val="00A80D18"/>
    <w:rsid w:val="00A812C8"/>
    <w:rsid w:val="00A844AA"/>
    <w:rsid w:val="00A85170"/>
    <w:rsid w:val="00A85397"/>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6327F"/>
    <w:rsid w:val="00B70084"/>
    <w:rsid w:val="00B72FAA"/>
    <w:rsid w:val="00B76987"/>
    <w:rsid w:val="00B80CFD"/>
    <w:rsid w:val="00B84D46"/>
    <w:rsid w:val="00B851E9"/>
    <w:rsid w:val="00BA02C3"/>
    <w:rsid w:val="00BA1D6B"/>
    <w:rsid w:val="00BA5934"/>
    <w:rsid w:val="00BB27E8"/>
    <w:rsid w:val="00BB4F06"/>
    <w:rsid w:val="00BD5498"/>
    <w:rsid w:val="00BD7CF6"/>
    <w:rsid w:val="00BE4315"/>
    <w:rsid w:val="00BE53B2"/>
    <w:rsid w:val="00BE5A51"/>
    <w:rsid w:val="00BF0DB6"/>
    <w:rsid w:val="00BF710D"/>
    <w:rsid w:val="00C0428C"/>
    <w:rsid w:val="00C05F43"/>
    <w:rsid w:val="00C10389"/>
    <w:rsid w:val="00C238F8"/>
    <w:rsid w:val="00C4098F"/>
    <w:rsid w:val="00C470DE"/>
    <w:rsid w:val="00C50A86"/>
    <w:rsid w:val="00C51224"/>
    <w:rsid w:val="00C53603"/>
    <w:rsid w:val="00C53928"/>
    <w:rsid w:val="00C541F5"/>
    <w:rsid w:val="00C553AE"/>
    <w:rsid w:val="00C64088"/>
    <w:rsid w:val="00C744B5"/>
    <w:rsid w:val="00C74D13"/>
    <w:rsid w:val="00C755BC"/>
    <w:rsid w:val="00C81CD6"/>
    <w:rsid w:val="00C858DA"/>
    <w:rsid w:val="00C86D7F"/>
    <w:rsid w:val="00C96FFD"/>
    <w:rsid w:val="00C97812"/>
    <w:rsid w:val="00CA1834"/>
    <w:rsid w:val="00CB5E63"/>
    <w:rsid w:val="00CB6C0C"/>
    <w:rsid w:val="00CC228C"/>
    <w:rsid w:val="00CD4B6B"/>
    <w:rsid w:val="00CE181C"/>
    <w:rsid w:val="00CF092B"/>
    <w:rsid w:val="00CF5232"/>
    <w:rsid w:val="00D013E8"/>
    <w:rsid w:val="00D034B8"/>
    <w:rsid w:val="00D043DA"/>
    <w:rsid w:val="00D17985"/>
    <w:rsid w:val="00D209AF"/>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65FD"/>
    <w:rsid w:val="00EA7604"/>
    <w:rsid w:val="00EB0B9B"/>
    <w:rsid w:val="00EB5DCC"/>
    <w:rsid w:val="00EC0D0A"/>
    <w:rsid w:val="00EC0D47"/>
    <w:rsid w:val="00EC26A6"/>
    <w:rsid w:val="00ED1245"/>
    <w:rsid w:val="00EE0B15"/>
    <w:rsid w:val="00EF0B5B"/>
    <w:rsid w:val="00F003E3"/>
    <w:rsid w:val="00F04F72"/>
    <w:rsid w:val="00F05D81"/>
    <w:rsid w:val="00F078E4"/>
    <w:rsid w:val="00F10B61"/>
    <w:rsid w:val="00F1299C"/>
    <w:rsid w:val="00F2482C"/>
    <w:rsid w:val="00F25937"/>
    <w:rsid w:val="00F3028E"/>
    <w:rsid w:val="00F31A66"/>
    <w:rsid w:val="00F32384"/>
    <w:rsid w:val="00F35C43"/>
    <w:rsid w:val="00F40630"/>
    <w:rsid w:val="00F42A42"/>
    <w:rsid w:val="00F451D9"/>
    <w:rsid w:val="00F46108"/>
    <w:rsid w:val="00F56C76"/>
    <w:rsid w:val="00F6284A"/>
    <w:rsid w:val="00F62F58"/>
    <w:rsid w:val="00F74447"/>
    <w:rsid w:val="00F9586F"/>
    <w:rsid w:val="00F95CB7"/>
    <w:rsid w:val="00F97AB4"/>
    <w:rsid w:val="00FA1576"/>
    <w:rsid w:val="00FA20D7"/>
    <w:rsid w:val="00FA326D"/>
    <w:rsid w:val="00FA66F7"/>
    <w:rsid w:val="00FB2F33"/>
    <w:rsid w:val="00FB3D48"/>
    <w:rsid w:val="00FC0B53"/>
    <w:rsid w:val="00FC0F3E"/>
    <w:rsid w:val="00FC355A"/>
    <w:rsid w:val="00FC480D"/>
    <w:rsid w:val="00FC63B6"/>
    <w:rsid w:val="00FC71CB"/>
    <w:rsid w:val="00FE26C9"/>
    <w:rsid w:val="00FE771A"/>
    <w:rsid w:val="00FF0512"/>
    <w:rsid w:val="00FF1F32"/>
    <w:rsid w:val="00FF6C30"/>
    <w:rsid w:val="00FF7275"/>
    <w:rsid w:val="01FF1E15"/>
    <w:rsid w:val="02E334E5"/>
    <w:rsid w:val="04EB6681"/>
    <w:rsid w:val="05A21435"/>
    <w:rsid w:val="067032E2"/>
    <w:rsid w:val="06F96E90"/>
    <w:rsid w:val="072E6CF9"/>
    <w:rsid w:val="0737795B"/>
    <w:rsid w:val="09575B61"/>
    <w:rsid w:val="0A666540"/>
    <w:rsid w:val="0C28640C"/>
    <w:rsid w:val="0C590374"/>
    <w:rsid w:val="0D815DD4"/>
    <w:rsid w:val="0DDB70EE"/>
    <w:rsid w:val="0DF50570"/>
    <w:rsid w:val="0F672551"/>
    <w:rsid w:val="0FA062BA"/>
    <w:rsid w:val="102B2027"/>
    <w:rsid w:val="10303AE2"/>
    <w:rsid w:val="10AB4F16"/>
    <w:rsid w:val="10C272B2"/>
    <w:rsid w:val="11C91AF8"/>
    <w:rsid w:val="11CB3AC2"/>
    <w:rsid w:val="123F1DBA"/>
    <w:rsid w:val="13094DDF"/>
    <w:rsid w:val="140A1ED1"/>
    <w:rsid w:val="14B810EA"/>
    <w:rsid w:val="16143B37"/>
    <w:rsid w:val="16351E52"/>
    <w:rsid w:val="167076D5"/>
    <w:rsid w:val="170A6E3A"/>
    <w:rsid w:val="1752433D"/>
    <w:rsid w:val="1830498D"/>
    <w:rsid w:val="189310B2"/>
    <w:rsid w:val="19355CC5"/>
    <w:rsid w:val="19A76BC3"/>
    <w:rsid w:val="19F85670"/>
    <w:rsid w:val="1B4561E8"/>
    <w:rsid w:val="1D0E51AB"/>
    <w:rsid w:val="1E0345E3"/>
    <w:rsid w:val="1E0D7210"/>
    <w:rsid w:val="1E530BE4"/>
    <w:rsid w:val="1EEB57A3"/>
    <w:rsid w:val="1F8A1785"/>
    <w:rsid w:val="1FC41B50"/>
    <w:rsid w:val="22FB1D2D"/>
    <w:rsid w:val="23270D74"/>
    <w:rsid w:val="232C1EE7"/>
    <w:rsid w:val="24A361D8"/>
    <w:rsid w:val="250052C3"/>
    <w:rsid w:val="256B319A"/>
    <w:rsid w:val="25EB7E37"/>
    <w:rsid w:val="261C6F95"/>
    <w:rsid w:val="27734588"/>
    <w:rsid w:val="2778394C"/>
    <w:rsid w:val="280451E0"/>
    <w:rsid w:val="299953D1"/>
    <w:rsid w:val="2A17006C"/>
    <w:rsid w:val="2B3D48E4"/>
    <w:rsid w:val="2C877DC8"/>
    <w:rsid w:val="2E9E5426"/>
    <w:rsid w:val="2FC82F97"/>
    <w:rsid w:val="3173284C"/>
    <w:rsid w:val="323E498E"/>
    <w:rsid w:val="339D48C8"/>
    <w:rsid w:val="347B2CCE"/>
    <w:rsid w:val="348002E4"/>
    <w:rsid w:val="34A51AF9"/>
    <w:rsid w:val="34B373A0"/>
    <w:rsid w:val="34D67F04"/>
    <w:rsid w:val="34D81ECE"/>
    <w:rsid w:val="378679C0"/>
    <w:rsid w:val="37D30223"/>
    <w:rsid w:val="38A65E3F"/>
    <w:rsid w:val="391A2715"/>
    <w:rsid w:val="3954558D"/>
    <w:rsid w:val="3B563B4D"/>
    <w:rsid w:val="3B783AC3"/>
    <w:rsid w:val="3BD72BCA"/>
    <w:rsid w:val="3CC33464"/>
    <w:rsid w:val="3E5C147A"/>
    <w:rsid w:val="3FD17C46"/>
    <w:rsid w:val="41055DF9"/>
    <w:rsid w:val="411249BA"/>
    <w:rsid w:val="43E53CC0"/>
    <w:rsid w:val="440D2D28"/>
    <w:rsid w:val="445D419E"/>
    <w:rsid w:val="44AC1FC9"/>
    <w:rsid w:val="44EC107E"/>
    <w:rsid w:val="45350C77"/>
    <w:rsid w:val="459D4988"/>
    <w:rsid w:val="45CC5F92"/>
    <w:rsid w:val="46641814"/>
    <w:rsid w:val="46CB1C3E"/>
    <w:rsid w:val="479804AF"/>
    <w:rsid w:val="49523BA5"/>
    <w:rsid w:val="49B74350"/>
    <w:rsid w:val="49F66C27"/>
    <w:rsid w:val="4AAD698E"/>
    <w:rsid w:val="4C835716"/>
    <w:rsid w:val="4C9444D5"/>
    <w:rsid w:val="4CDF7E46"/>
    <w:rsid w:val="4E4A78E3"/>
    <w:rsid w:val="50724B2D"/>
    <w:rsid w:val="508107AB"/>
    <w:rsid w:val="51736DAF"/>
    <w:rsid w:val="53C71F85"/>
    <w:rsid w:val="53F405BE"/>
    <w:rsid w:val="54240834"/>
    <w:rsid w:val="551D485B"/>
    <w:rsid w:val="55DE5C25"/>
    <w:rsid w:val="55E464CD"/>
    <w:rsid w:val="598A1C1A"/>
    <w:rsid w:val="59AF6DF2"/>
    <w:rsid w:val="5A401B2B"/>
    <w:rsid w:val="5C9D2B7B"/>
    <w:rsid w:val="5F13572D"/>
    <w:rsid w:val="5FA55479"/>
    <w:rsid w:val="5FC31187"/>
    <w:rsid w:val="60B60A66"/>
    <w:rsid w:val="62562501"/>
    <w:rsid w:val="637075F2"/>
    <w:rsid w:val="648D05E0"/>
    <w:rsid w:val="662A0E79"/>
    <w:rsid w:val="664D7777"/>
    <w:rsid w:val="67A07D7A"/>
    <w:rsid w:val="68B25FB7"/>
    <w:rsid w:val="69AA4615"/>
    <w:rsid w:val="69C26D7F"/>
    <w:rsid w:val="69E509F7"/>
    <w:rsid w:val="6A201602"/>
    <w:rsid w:val="6B8A321B"/>
    <w:rsid w:val="6BBB5183"/>
    <w:rsid w:val="6C1F3963"/>
    <w:rsid w:val="6C2076DB"/>
    <w:rsid w:val="6C8C6B1F"/>
    <w:rsid w:val="6DEF3809"/>
    <w:rsid w:val="6EA97E5C"/>
    <w:rsid w:val="701D1D1F"/>
    <w:rsid w:val="721D26F3"/>
    <w:rsid w:val="73A17823"/>
    <w:rsid w:val="73AE2A7E"/>
    <w:rsid w:val="73DC09EB"/>
    <w:rsid w:val="740022CC"/>
    <w:rsid w:val="741639DC"/>
    <w:rsid w:val="76726D86"/>
    <w:rsid w:val="76B80C3C"/>
    <w:rsid w:val="773329B9"/>
    <w:rsid w:val="7783749C"/>
    <w:rsid w:val="77AF74EA"/>
    <w:rsid w:val="78120820"/>
    <w:rsid w:val="78C0202A"/>
    <w:rsid w:val="790E0F02"/>
    <w:rsid w:val="79BA323A"/>
    <w:rsid w:val="7BE20509"/>
    <w:rsid w:val="7C9712F4"/>
    <w:rsid w:val="7D9F66B2"/>
    <w:rsid w:val="7E865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8"/>
    <w:qFormat/>
    <w:uiPriority w:val="0"/>
    <w:pPr>
      <w:spacing w:after="120"/>
    </w:pPr>
  </w:style>
  <w:style w:type="paragraph" w:styleId="5">
    <w:name w:val="Body Text Indent"/>
    <w:basedOn w:val="1"/>
    <w:link w:val="19"/>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0"/>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4"/>
    <w:qFormat/>
    <w:uiPriority w:val="0"/>
    <w:rPr>
      <w:kern w:val="2"/>
      <w:sz w:val="21"/>
      <w:szCs w:val="24"/>
    </w:rPr>
  </w:style>
  <w:style w:type="character" w:customStyle="1" w:styleId="19">
    <w:name w:val="正文文本缩进 Char"/>
    <w:basedOn w:val="15"/>
    <w:link w:val="5"/>
    <w:qFormat/>
    <w:uiPriority w:val="0"/>
    <w:rPr>
      <w:kern w:val="2"/>
      <w:sz w:val="21"/>
      <w:szCs w:val="24"/>
    </w:rPr>
  </w:style>
  <w:style w:type="character" w:customStyle="1" w:styleId="20">
    <w:name w:val="日期 Char"/>
    <w:basedOn w:val="15"/>
    <w:link w:val="7"/>
    <w:qFormat/>
    <w:uiPriority w:val="0"/>
    <w:rPr>
      <w:kern w:val="2"/>
      <w:sz w:val="21"/>
      <w:szCs w:val="24"/>
    </w:rPr>
  </w:style>
  <w:style w:type="character" w:customStyle="1" w:styleId="21">
    <w:name w:val="页脚 Char"/>
    <w:basedOn w:val="15"/>
    <w:link w:val="8"/>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3"/>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2508</Words>
  <Characters>2677</Characters>
  <Lines>3</Lines>
  <Paragraphs>6</Paragraphs>
  <TotalTime>23</TotalTime>
  <ScaleCrop>false</ScaleCrop>
  <LinksUpToDate>false</LinksUpToDate>
  <CharactersWithSpaces>2698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黄庆源</dc:creator>
  <cp:lastModifiedBy>松谷斜阳</cp:lastModifiedBy>
  <cp:lastPrinted>2025-03-26T08:53:00Z</cp:lastPrinted>
  <dcterms:modified xsi:type="dcterms:W3CDTF">2025-09-09T01:25:02Z</dcterms:modified>
  <dc:title>密级</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3BD8D18B4C43429C816003A80A5499FE_13</vt:lpwstr>
  </property>
  <property fmtid="{D5CDD505-2E9C-101B-9397-08002B2CF9AE}" pid="4" name="KSOTemplateDocerSaveRecord">
    <vt:lpwstr>eyJoZGlkIjoiNGI0NjMzOTliMjNjN2QwYWY5MTNiZTdlMGZiODhlZmYiLCJ1c2VySWQiOiIzMDA5NjMzMTgifQ==</vt:lpwstr>
  </property>
</Properties>
</file>