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E624">
      <w:pPr>
        <w:rPr>
          <w:rFonts w:hint="default" w:ascii="Arial Narrow" w:hAnsi="Arial Narrow" w:cs="Arial Narrow"/>
          <w:b w:val="0"/>
          <w:bCs/>
          <w:i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Arial Narrow" w:hAnsi="Arial Narrow" w:cs="Arial Narrow"/>
          <w:b w:val="0"/>
          <w:bCs/>
          <w:i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附件1：</w:t>
      </w:r>
    </w:p>
    <w:p w14:paraId="6C70C181">
      <w:pPr>
        <w:ind w:firstLine="402" w:firstLineChars="100"/>
        <w:rPr>
          <w:rFonts w:hint="eastAsia" w:ascii="Arial Narrow" w:hAnsi="Arial Narrow" w:cs="Arial Narrow"/>
          <w:b/>
          <w:bCs w:val="0"/>
          <w:i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2025年市政设施养护车辆采购项目</w:t>
      </w:r>
      <w:r>
        <w:rPr>
          <w:rFonts w:hint="eastAsia" w:ascii="Arial Narrow" w:hAnsi="Arial Narrow" w:cs="Arial Narrow"/>
          <w:b/>
          <w:bCs w:val="0"/>
          <w:i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技术要求</w:t>
      </w:r>
    </w:p>
    <w:tbl>
      <w:tblPr>
        <w:tblStyle w:val="11"/>
        <w:tblW w:w="5128" w:type="pct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"/>
        <w:gridCol w:w="1212"/>
        <w:gridCol w:w="5"/>
        <w:gridCol w:w="813"/>
        <w:gridCol w:w="781"/>
        <w:gridCol w:w="5089"/>
      </w:tblGrid>
      <w:tr w14:paraId="7A18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73" w:type="pct"/>
            <w:noWrap w:val="0"/>
            <w:vAlign w:val="center"/>
          </w:tcPr>
          <w:p w14:paraId="3DEB1C62">
            <w:pPr>
              <w:spacing w:line="3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项号</w:t>
            </w:r>
          </w:p>
        </w:tc>
        <w:tc>
          <w:tcPr>
            <w:tcW w:w="700" w:type="pct"/>
            <w:gridSpan w:val="2"/>
            <w:noWrap w:val="0"/>
            <w:vAlign w:val="center"/>
          </w:tcPr>
          <w:p w14:paraId="5B8F650C">
            <w:pPr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货物名称</w:t>
            </w:r>
          </w:p>
        </w:tc>
        <w:tc>
          <w:tcPr>
            <w:tcW w:w="467" w:type="pct"/>
            <w:gridSpan w:val="2"/>
            <w:noWrap w:val="0"/>
            <w:vAlign w:val="center"/>
          </w:tcPr>
          <w:p w14:paraId="22651699">
            <w:pPr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数量</w:t>
            </w:r>
          </w:p>
        </w:tc>
        <w:tc>
          <w:tcPr>
            <w:tcW w:w="446" w:type="pct"/>
            <w:noWrap w:val="0"/>
            <w:vAlign w:val="center"/>
          </w:tcPr>
          <w:p w14:paraId="3D1BDA96"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2911" w:type="pct"/>
            <w:noWrap w:val="0"/>
            <w:vAlign w:val="center"/>
          </w:tcPr>
          <w:p w14:paraId="49DF1C4D">
            <w:pPr>
              <w:spacing w:line="340" w:lineRule="exact"/>
              <w:ind w:firstLine="723" w:firstLineChars="343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规格、技术参数及其他要求</w:t>
            </w:r>
          </w:p>
        </w:tc>
      </w:tr>
      <w:tr w14:paraId="4E85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</w:trPr>
        <w:tc>
          <w:tcPr>
            <w:tcW w:w="473" w:type="pct"/>
            <w:tcBorders>
              <w:bottom w:val="single" w:color="auto" w:sz="4" w:space="0"/>
            </w:tcBorders>
            <w:noWrap w:val="0"/>
            <w:vAlign w:val="center"/>
          </w:tcPr>
          <w:p w14:paraId="3BD52106">
            <w:pPr>
              <w:widowControl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1</w:t>
            </w:r>
          </w:p>
        </w:tc>
        <w:tc>
          <w:tcPr>
            <w:tcW w:w="70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BAED5F">
            <w:pPr>
              <w:widowControl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市政设施养护</w:t>
            </w:r>
            <w:r>
              <w:rPr>
                <w:rFonts w:hint="eastAsia" w:hAnsi="宋体" w:cs="宋体"/>
                <w:kern w:val="0"/>
                <w:sz w:val="24"/>
              </w:rPr>
              <w:t>自卸车</w:t>
            </w:r>
          </w:p>
        </w:tc>
        <w:tc>
          <w:tcPr>
            <w:tcW w:w="4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6B7F87">
            <w:pPr>
              <w:widowControl/>
              <w:jc w:val="left"/>
              <w:rPr>
                <w:rFonts w:hint="eastAsia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46" w:type="pct"/>
            <w:tcBorders>
              <w:bottom w:val="single" w:color="auto" w:sz="4" w:space="0"/>
            </w:tcBorders>
            <w:noWrap w:val="0"/>
            <w:vAlign w:val="center"/>
          </w:tcPr>
          <w:p w14:paraId="4AC17073">
            <w:pPr>
              <w:widowControl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辆</w:t>
            </w:r>
          </w:p>
        </w:tc>
        <w:tc>
          <w:tcPr>
            <w:tcW w:w="2911" w:type="pct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2A55C75"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发动机及型号：全柴;排量2.3L,马力95匹。</w:t>
            </w:r>
          </w:p>
          <w:p w14:paraId="3D5E3E79"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5挡变速箱；</w:t>
            </w:r>
          </w:p>
          <w:p w14:paraId="682ED621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3、总质量：4495Kg，整备质量：2600 Kg</w:t>
            </w:r>
          </w:p>
          <w:p w14:paraId="28514877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4、额定载质量：1570Kg。</w:t>
            </w:r>
          </w:p>
          <w:p w14:paraId="4B52C613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5、外形尺寸：4990*1920*1995mm；</w:t>
            </w:r>
          </w:p>
          <w:p w14:paraId="2D1045BC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6、货厢尺寸：2290*1800*400mm；</w:t>
            </w:r>
          </w:p>
          <w:p w14:paraId="7EB067A9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7、轴距：2950mm；</w:t>
            </w:r>
          </w:p>
          <w:p w14:paraId="3407CCFC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8、发动机功率：70KW；</w:t>
            </w:r>
          </w:p>
          <w:p w14:paraId="3F13477A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9、排放标准：国六；</w:t>
            </w:r>
          </w:p>
          <w:p w14:paraId="3C8CAD88">
            <w:pPr>
              <w:widowControl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10、燃料种类：柴油；</w:t>
            </w:r>
          </w:p>
          <w:p w14:paraId="18750630">
            <w:pPr>
              <w:widowControl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hAnsi="宋体" w:cs="宋体"/>
                <w:kern w:val="0"/>
                <w:sz w:val="24"/>
              </w:rPr>
              <w:t>11、最高车速：</w:t>
            </w: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10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0K</w:t>
            </w: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m/h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；</w:t>
            </w:r>
          </w:p>
          <w:p w14:paraId="7555EE66">
            <w:pPr>
              <w:widowControl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12、驶室准座人数；2+3</w:t>
            </w:r>
          </w:p>
          <w:p w14:paraId="17215EC9">
            <w:pPr>
              <w:widowControl/>
              <w:ind w:left="480" w:hanging="480" w:hangingChars="200"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13、轮胎：6.00R15；</w:t>
            </w:r>
          </w:p>
          <w:p w14:paraId="2015361E">
            <w:pPr>
              <w:widowControl/>
              <w:ind w:left="480" w:hanging="480" w:hangingChars="200"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14、制动系统：油刹；</w:t>
            </w:r>
          </w:p>
          <w:p w14:paraId="75F98674">
            <w:pPr>
              <w:widowControl/>
              <w:ind w:left="480" w:hanging="480" w:hangingChars="200"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 xml:space="preserve">15、其他配置：动转、空调。 </w:t>
            </w:r>
          </w:p>
          <w:p w14:paraId="5B9C1FC9">
            <w:pPr>
              <w:widowControl/>
              <w:ind w:left="480" w:hanging="480" w:hangingChars="200"/>
              <w:jc w:val="left"/>
              <w:rPr>
                <w:rFonts w:ascii="Arial" w:hAnsi="Arial" w:cs="Arial"/>
                <w:color w:val="333333"/>
                <w:sz w:val="24"/>
                <w:shd w:val="clear" w:color="auto" w:fill="F7F7F7"/>
              </w:rPr>
            </w:pPr>
          </w:p>
        </w:tc>
      </w:tr>
      <w:tr w14:paraId="251F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80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DF52E1">
            <w:pPr>
              <w:widowControl/>
              <w:jc w:val="left"/>
              <w:rPr>
                <w:rFonts w:hint="eastAsia" w:hAnsi="宋体" w:cs="宋体"/>
                <w:kern w:val="0"/>
                <w:sz w:val="24"/>
              </w:rPr>
            </w:pPr>
          </w:p>
          <w:p w14:paraId="5341E972">
            <w:pPr>
              <w:widowControl/>
              <w:jc w:val="left"/>
              <w:rPr>
                <w:rFonts w:hint="eastAsia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C12E1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售后服务要求</w:t>
            </w:r>
          </w:p>
        </w:tc>
        <w:tc>
          <w:tcPr>
            <w:tcW w:w="3826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3546F9">
            <w:pPr>
              <w:widowControl/>
              <w:jc w:val="left"/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免费送货上门安装、免费调试达到至使用人员能独立操作，熟悉操作的要求；</w:t>
            </w:r>
          </w:p>
          <w:p w14:paraId="0A717FB0">
            <w:pPr>
              <w:widowControl/>
              <w:jc w:val="left"/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在保修期内出现问题，供货方的工程师必须在接到报修后24小时到位。</w:t>
            </w:r>
          </w:p>
          <w:p w14:paraId="1855956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发动机三包时间：3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不计里程或10万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eastAsia="zh-CN"/>
              </w:rPr>
              <w:t>公里</w:t>
            </w: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  <w:t>。</w:t>
            </w:r>
          </w:p>
        </w:tc>
      </w:tr>
      <w:tr w14:paraId="0344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80" w:type="pct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0C1BC9C4">
            <w:pPr>
              <w:widowControl/>
              <w:jc w:val="left"/>
              <w:rPr>
                <w:rFonts w:hint="eastAsia" w:hAnsi="宋体" w:cs="宋体"/>
                <w:kern w:val="0"/>
                <w:sz w:val="24"/>
                <w:lang w:val="en-US" w:eastAsia="zh-CN"/>
              </w:rPr>
            </w:pPr>
            <w:bookmarkStart w:id="0" w:name="_GoBack" w:colFirst="1" w:colLast="4"/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32CF59">
            <w:pPr>
              <w:widowControl/>
              <w:jc w:val="left"/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val="en-US" w:eastAsia="zh-CN"/>
              </w:rPr>
              <w:t>付款方式</w:t>
            </w:r>
          </w:p>
        </w:tc>
        <w:tc>
          <w:tcPr>
            <w:tcW w:w="3823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C275CB7">
            <w:pPr>
              <w:widowControl/>
              <w:jc w:val="left"/>
              <w:rPr>
                <w:rFonts w:hint="eastAsia"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hd w:val="clear" w:color="auto" w:fill="FFFFFF"/>
                <w:lang w:val="en-US" w:eastAsia="zh-CN"/>
              </w:rPr>
              <w:t>本项目无预付款，乙方完成交货并通过竣工验收后，乙方配合提供请款资料，甲方于15个工作日内向玉林市财政局办理全部合同价款的请款手续，具体到账时间以财政拨付为准。</w:t>
            </w:r>
          </w:p>
        </w:tc>
      </w:tr>
      <w:bookmarkEnd w:id="0"/>
    </w:tbl>
    <w:p w14:paraId="3D8FC960">
      <w:pPr>
        <w:pStyle w:val="13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E0F58"/>
    <w:multiLevelType w:val="multilevel"/>
    <w:tmpl w:val="803E0F58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  <w:b/>
        <w:i w:val="0"/>
        <w:shadow/>
        <w:emboss w:val="0"/>
        <w:imprint w:val="0"/>
        <w:sz w:val="44"/>
        <w:szCs w:val="44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680"/>
        </w:tabs>
        <w:ind w:left="680" w:hanging="680"/>
      </w:pPr>
      <w:rPr>
        <w:rFonts w:hint="eastAsia" w:ascii="黑体" w:eastAsia="黑体"/>
        <w:b/>
        <w:i w:val="0"/>
        <w:shadow/>
        <w:emboss w:val="0"/>
        <w:imprint w:val="0"/>
        <w:sz w:val="32"/>
        <w:szCs w:val="32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1146"/>
        </w:tabs>
        <w:ind w:left="1146" w:hanging="720"/>
      </w:pPr>
      <w:rPr>
        <w:rFonts w:hint="eastAsia" w:ascii="黑体" w:hAnsi="Times New Roman" w:eastAsia="黑体" w:cs="Times New Roman"/>
        <w:b/>
        <w:i w:val="0"/>
        <w:shadow/>
        <w:emboss w:val="0"/>
        <w:imprint w:val="0"/>
        <w:sz w:val="30"/>
        <w:szCs w:val="30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116"/>
        </w:tabs>
        <w:ind w:left="1116" w:hanging="1116"/>
      </w:pPr>
      <w:rPr>
        <w:rFonts w:hint="eastAsia" w:ascii="黑体" w:hAnsi="Times New Roman" w:eastAsia="黑体" w:cs="Times New Roman"/>
        <w:b/>
        <w:i w:val="0"/>
        <w:shadow/>
        <w:emboss w:val="0"/>
        <w:imprint w:val="0"/>
        <w:color w:val="auto"/>
        <w:sz w:val="28"/>
        <w:szCs w:val="28"/>
        <w:u w:val="none"/>
      </w:rPr>
    </w:lvl>
    <w:lvl w:ilvl="4" w:tentative="0">
      <w:start w:val="1"/>
      <w:numFmt w:val="decimal"/>
      <w:pStyle w:val="6"/>
      <w:isLgl/>
      <w:lvlText w:val="%1.%2.%3.%4.%5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  <w:b/>
        <w:i w:val="0"/>
        <w:shadow/>
        <w:emboss w:val="0"/>
        <w:imprint w:val="0"/>
        <w:sz w:val="24"/>
        <w:szCs w:val="24"/>
      </w:rPr>
    </w:lvl>
    <w:lvl w:ilvl="5" w:tentative="0">
      <w:start w:val="1"/>
      <w:numFmt w:val="decimal"/>
      <w:pStyle w:val="7"/>
      <w:isLgl/>
      <w:lvlText w:val="%1.%2.%3.%4.%5.%6"/>
      <w:lvlJc w:val="left"/>
      <w:pPr>
        <w:tabs>
          <w:tab w:val="left" w:pos="864"/>
        </w:tabs>
        <w:ind w:left="864" w:hanging="864"/>
      </w:pPr>
      <w:rPr>
        <w:rFonts w:hint="eastAsia" w:ascii="黑体" w:eastAsia="黑体"/>
        <w:b/>
        <w:i w:val="0"/>
        <w:shadow/>
        <w:emboss w:val="0"/>
        <w:imprint w:val="0"/>
        <w:sz w:val="24"/>
        <w:szCs w:val="24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tabs>
          <w:tab w:val="left" w:pos="1008"/>
        </w:tabs>
        <w:ind w:left="1008" w:hanging="1008"/>
      </w:pPr>
      <w:rPr>
        <w:rFonts w:hint="eastAsia" w:ascii="黑体" w:eastAsia="黑体"/>
        <w:b/>
        <w:i w:val="0"/>
        <w:shadow/>
        <w:emboss w:val="0"/>
        <w:imprint w:val="0"/>
        <w:sz w:val="24"/>
        <w:szCs w:val="24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tabs>
          <w:tab w:val="left" w:pos="1152"/>
        </w:tabs>
        <w:ind w:left="1152" w:hanging="1152"/>
      </w:pPr>
      <w:rPr>
        <w:rFonts w:hint="eastAsia" w:ascii="黑体" w:eastAsia="黑体"/>
        <w:b/>
        <w:i w:val="0"/>
        <w:shadow/>
        <w:emboss w:val="0"/>
        <w:imprint w:val="0"/>
        <w:sz w:val="24"/>
        <w:szCs w:val="24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tabs>
          <w:tab w:val="left" w:pos="1296"/>
        </w:tabs>
        <w:ind w:left="1296" w:hanging="1296"/>
      </w:pPr>
      <w:rPr>
        <w:rFonts w:hint="eastAsia" w:eastAsia="黑体"/>
        <w:b/>
        <w:i w:val="0"/>
        <w:shadow/>
        <w:emboss w:val="0"/>
        <w:imprint w:val="0"/>
        <w:sz w:val="24"/>
        <w:szCs w:val="24"/>
      </w:rPr>
    </w:lvl>
  </w:abstractNum>
  <w:abstractNum w:abstractNumId="1">
    <w:nsid w:val="4F18061C"/>
    <w:multiLevelType w:val="multilevel"/>
    <w:tmpl w:val="4F18061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5356F"/>
    <w:rsid w:val="05114EDC"/>
    <w:rsid w:val="07B26952"/>
    <w:rsid w:val="0AD8682D"/>
    <w:rsid w:val="132809FA"/>
    <w:rsid w:val="1785079C"/>
    <w:rsid w:val="1E523BE1"/>
    <w:rsid w:val="1EA51082"/>
    <w:rsid w:val="270A57EF"/>
    <w:rsid w:val="2B6A3810"/>
    <w:rsid w:val="2C262E4D"/>
    <w:rsid w:val="2C293D64"/>
    <w:rsid w:val="2F013377"/>
    <w:rsid w:val="355260CA"/>
    <w:rsid w:val="377B5C2D"/>
    <w:rsid w:val="3785356F"/>
    <w:rsid w:val="381C0FD7"/>
    <w:rsid w:val="3B6917A3"/>
    <w:rsid w:val="3CF96A86"/>
    <w:rsid w:val="3F147901"/>
    <w:rsid w:val="43C1457B"/>
    <w:rsid w:val="48B43A38"/>
    <w:rsid w:val="50895197"/>
    <w:rsid w:val="5BC765BD"/>
    <w:rsid w:val="5D2C58A1"/>
    <w:rsid w:val="5E6229F6"/>
    <w:rsid w:val="6AEF20FE"/>
    <w:rsid w:val="6D2B4497"/>
    <w:rsid w:val="6DE75B15"/>
    <w:rsid w:val="77895A9E"/>
    <w:rsid w:val="77FB004E"/>
    <w:rsid w:val="7C554952"/>
    <w:rsid w:val="7E6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pageBreakBefore/>
      <w:numPr>
        <w:ilvl w:val="0"/>
        <w:numId w:val="1"/>
      </w:numPr>
      <w:tabs>
        <w:tab w:val="left" w:pos="630"/>
      </w:tabs>
      <w:spacing w:before="100" w:beforeLines="100" w:after="100" w:afterLines="100" w:line="360" w:lineRule="auto"/>
      <w:jc w:val="left"/>
      <w:outlineLvl w:val="0"/>
    </w:pPr>
    <w:rPr>
      <w:rFonts w:ascii="Times New Roman" w:hAnsi="Times New Roman" w:eastAsia="宋体"/>
      <w:b/>
      <w:bCs/>
      <w:shadow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680" w:hanging="68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146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116" w:hanging="1116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720" w:hanging="72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864" w:hanging="86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008" w:hanging="1008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"/>
    <w:basedOn w:val="1"/>
    <w:qFormat/>
    <w:uiPriority w:val="0"/>
    <w:pPr>
      <w:textAlignment w:val="baseline"/>
    </w:pPr>
    <w:rPr>
      <w:szCs w:val="21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宋体"/>
      <w:b/>
      <w:bCs/>
      <w:shadow/>
      <w:kern w:val="44"/>
      <w:sz w:val="36"/>
      <w:szCs w:val="36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1</Pages>
  <Words>387</Words>
  <Characters>472</Characters>
  <Lines>0</Lines>
  <Paragraphs>0</Paragraphs>
  <TotalTime>0</TotalTime>
  <ScaleCrop>false</ScaleCrop>
  <LinksUpToDate>false</LinksUpToDate>
  <CharactersWithSpaces>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2025-05-28T13:39:00Z</dcterms:created>
  <dc:creator>陈春霖</dc:creator>
  <cp:lastModifiedBy>杨杨</cp:lastModifiedBy>
  <cp:lastPrinted>2025-05-30T00:54:00Z</cp:lastPrinted>
  <dcterms:modified xsi:type="dcterms:W3CDTF">2025-09-10T08:11:10Z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B28C7C1342A44C1F9DBB1D73169AE5E4_13</vt:lpwstr>
  </property>
  <property fmtid="{D5CDD505-2E9C-101B-9397-08002B2CF9AE}" pid="4" name="KSOTemplateDocerSaveRecord">
    <vt:lpwstr>eyJoZGlkIjoiOTI2ZDdmYTQzNDgyMzM5NmMyOWI5NzNhNTE2YmM2OGEiLCJ1c2VySWQiOiIzMjk3MDY2MzUifQ==</vt:lpwstr>
  </property>
</Properties>
</file>